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A8" w:rsidRDefault="00B40CA8" w:rsidP="001C0E33">
      <w:pPr>
        <w:rPr>
          <w:rFonts w:ascii="Bold" w:hAnsi="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" w:hAnsi="TimesNewRoman"/>
          <w:b/>
          <w:bCs/>
          <w:color w:val="000000"/>
        </w:rPr>
        <w:t xml:space="preserve">Мищенко О.Я., Яковлева Л.В., Осташко В.Ф., </w:t>
      </w:r>
      <w:proofErr w:type="spellStart"/>
      <w:r>
        <w:rPr>
          <w:rFonts w:ascii="TimesNewRoman" w:hAnsi="TimesNewRoman"/>
          <w:b/>
          <w:bCs/>
          <w:color w:val="000000"/>
        </w:rPr>
        <w:t>Конющинская</w:t>
      </w:r>
      <w:proofErr w:type="spellEnd"/>
      <w:r>
        <w:rPr>
          <w:rFonts w:ascii="TimesNewRoman" w:hAnsi="TimesNewRoman"/>
          <w:b/>
          <w:bCs/>
          <w:color w:val="000000"/>
        </w:rPr>
        <w:t xml:space="preserve"> И.В.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>ОЦЕНКА РАЦИОНАЛЬНОСТИ ЛЕКАРСТВЕННЫХ НАЗНАЧЕНИЙ БОЛЬНЫМ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>ИШЕМИЧЕСКОЙ БОЛЕЗНЬЮ СЕРДЦА В УКРАИНСКИХ РЕАЛИЯХ</w:t>
      </w:r>
      <w:r>
        <w:rPr>
          <w:rFonts w:ascii="TimesNewRoman" w:hAnsi="TimesNewRoman"/>
          <w:color w:val="000000"/>
        </w:rPr>
        <w:br/>
        <w:t>Национальный фармацевтический университет, г. Харьков, Украина</w:t>
      </w:r>
      <w:r>
        <w:rPr>
          <w:rFonts w:ascii="TimesNewRoman" w:hAnsi="TimesNewRoman"/>
          <w:color w:val="000000"/>
        </w:rPr>
        <w:br/>
        <w:t>E-</w:t>
      </w:r>
      <w:proofErr w:type="spellStart"/>
      <w:r>
        <w:rPr>
          <w:rFonts w:ascii="TimesNewRoman" w:hAnsi="TimesNewRoman"/>
          <w:color w:val="000000"/>
        </w:rPr>
        <w:t>mail</w:t>
      </w:r>
      <w:proofErr w:type="spellEnd"/>
      <w:r>
        <w:rPr>
          <w:rFonts w:ascii="TimesNewRoman" w:hAnsi="TimesNewRoman"/>
          <w:color w:val="000000"/>
        </w:rPr>
        <w:t>: clinpharmacol_ipksph@nuph.edu.ua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Цель: </w:t>
      </w:r>
      <w:r>
        <w:rPr>
          <w:rFonts w:ascii="TimesNewRoman" w:hAnsi="TimesNewRoman"/>
          <w:color w:val="000000"/>
        </w:rPr>
        <w:t>Ишемическая болезнь сердца (ИБС) – основная причина смерти в мире и Украине.</w:t>
      </w:r>
      <w:r>
        <w:rPr>
          <w:rFonts w:ascii="TimesNewRoman" w:hAnsi="TimesNewRoman"/>
          <w:color w:val="000000"/>
        </w:rPr>
        <w:br/>
        <w:t>Рациональное назначение лекарственных средств (ЛС), отобранных на основе анализа их</w:t>
      </w:r>
      <w:r>
        <w:rPr>
          <w:rFonts w:ascii="TimesNewRoman" w:hAnsi="TimesNewRoman"/>
          <w:color w:val="000000"/>
        </w:rPr>
        <w:br/>
        <w:t>эффективности и безопасности способствует повышению качества терапии [2]. Цель</w:t>
      </w:r>
      <w:r>
        <w:rPr>
          <w:rFonts w:ascii="TimesNewRoman" w:hAnsi="TimesNewRoman"/>
          <w:color w:val="000000"/>
        </w:rPr>
        <w:br/>
        <w:t>исследования: оценка рациональности назначений фармакотерапии больным ИБС по</w:t>
      </w:r>
      <w:r>
        <w:rPr>
          <w:rFonts w:ascii="TimesNewRoman" w:hAnsi="TimesNewRoman"/>
          <w:color w:val="000000"/>
        </w:rPr>
        <w:br/>
        <w:t>результатам совокупного VEN/частотного анализа.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Методы: </w:t>
      </w:r>
      <w:r>
        <w:rPr>
          <w:rFonts w:ascii="TimesNewRoman" w:hAnsi="TimesNewRoman"/>
          <w:color w:val="000000"/>
        </w:rPr>
        <w:t>Были использованы следующие методы исследования [2]: ретроспективный анализ</w:t>
      </w:r>
      <w:r>
        <w:rPr>
          <w:rFonts w:ascii="TimesNewRoman" w:hAnsi="TimesNewRoman"/>
          <w:color w:val="000000"/>
        </w:rPr>
        <w:br/>
        <w:t>листов назначений; частотный анализ назначений ЛС (по фармакотерапевтическим группам;</w:t>
      </w:r>
      <w:r>
        <w:rPr>
          <w:rFonts w:ascii="TimesNewRoman" w:hAnsi="TimesNewRoman"/>
          <w:color w:val="000000"/>
        </w:rPr>
        <w:br/>
        <w:t>по МНН; по торговым наименованиям (ТН); по количеству назначений на одного больного);</w:t>
      </w:r>
      <w:r>
        <w:rPr>
          <w:rFonts w:ascii="TimesNewRoman" w:hAnsi="TimesNewRoman"/>
          <w:color w:val="000000"/>
        </w:rPr>
        <w:br/>
        <w:t>формальный VEN-анализ: наличие ЛС в государственных нормативных документах,</w:t>
      </w:r>
      <w:r>
        <w:rPr>
          <w:rFonts w:ascii="TimesNewRoman" w:hAnsi="TimesNewRoman"/>
          <w:color w:val="000000"/>
        </w:rPr>
        <w:br/>
        <w:t>регулирующих лекарственное обеспечение – «Унифицированном клиническом протоколе</w:t>
      </w:r>
      <w:r>
        <w:rPr>
          <w:rFonts w:ascii="TimesNewRoman" w:hAnsi="TimesNewRoman"/>
          <w:color w:val="000000"/>
        </w:rPr>
        <w:br/>
        <w:t>первичной, вторичной (специализированной) и третичной (высокоспециализированной)</w:t>
      </w:r>
      <w:r>
        <w:rPr>
          <w:rFonts w:ascii="TimesNewRoman" w:hAnsi="TimesNewRoman"/>
          <w:color w:val="000000"/>
        </w:rPr>
        <w:br/>
        <w:t>450</w:t>
      </w:r>
      <w:r>
        <w:rPr>
          <w:rFonts w:ascii="TimesNewRoman" w:hAnsi="TimesNewRoman"/>
          <w:color w:val="000000"/>
        </w:rPr>
        <w:br/>
        <w:t>медицинской помощи «Стабильная ишемическая болезнь сердца» (УКПМП) [3] и</w:t>
      </w:r>
      <w:r>
        <w:rPr>
          <w:rFonts w:ascii="TimesNewRoman" w:hAnsi="TimesNewRoman"/>
          <w:color w:val="000000"/>
        </w:rPr>
        <w:br/>
        <w:t>Государственном формуляре лекарственных средств Украины (ГФУ) (2015 г.) [1].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Результаты: </w:t>
      </w:r>
      <w:r>
        <w:rPr>
          <w:rFonts w:ascii="TimesNewRoman" w:hAnsi="TimesNewRoman"/>
          <w:color w:val="000000"/>
        </w:rPr>
        <w:t>Согласно нормативным документам основными направлениями</w:t>
      </w:r>
      <w:r>
        <w:rPr>
          <w:rFonts w:ascii="TimesNewRoman" w:hAnsi="TimesNewRoman"/>
          <w:color w:val="000000"/>
        </w:rPr>
        <w:br/>
        <w:t xml:space="preserve">фармакотерапии </w:t>
      </w:r>
      <w:proofErr w:type="gramStart"/>
      <w:r>
        <w:rPr>
          <w:rFonts w:ascii="TimesNewRoman" w:hAnsi="TimesNewRoman"/>
          <w:color w:val="000000"/>
        </w:rPr>
        <w:t>при</w:t>
      </w:r>
      <w:proofErr w:type="gramEnd"/>
      <w:r>
        <w:rPr>
          <w:rFonts w:ascii="TimesNewRoman" w:hAnsi="TimesNewRoman"/>
          <w:color w:val="000000"/>
        </w:rPr>
        <w:t xml:space="preserve"> ИБС являются: антиишемическое, </w:t>
      </w:r>
      <w:proofErr w:type="spellStart"/>
      <w:r>
        <w:rPr>
          <w:rFonts w:ascii="TimesNewRoman" w:hAnsi="TimesNewRoman"/>
          <w:color w:val="000000"/>
        </w:rPr>
        <w:t>антиагрегантное</w:t>
      </w:r>
      <w:proofErr w:type="spellEnd"/>
      <w:r>
        <w:rPr>
          <w:rFonts w:ascii="TimesNewRoman" w:hAnsi="TimesNewRoman"/>
          <w:color w:val="000000"/>
        </w:rPr>
        <w:t xml:space="preserve"> и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Fonts w:ascii="TimesNewRoman" w:hAnsi="TimesNewRoman"/>
          <w:color w:val="000000"/>
        </w:rPr>
        <w:t>гиполипидемическое</w:t>
      </w:r>
      <w:proofErr w:type="spellEnd"/>
      <w:r>
        <w:rPr>
          <w:rFonts w:ascii="TimesNewRoman" w:hAnsi="TimesNewRoman"/>
          <w:color w:val="000000"/>
        </w:rPr>
        <w:t>. Результаты ретроспективного анализа листов назначений ЛС 100</w:t>
      </w:r>
      <w:r>
        <w:rPr>
          <w:rFonts w:ascii="TimesNewRoman" w:hAnsi="TimesNewRoman"/>
          <w:color w:val="000000"/>
        </w:rPr>
        <w:br/>
        <w:t>больных с основным диагнозом – «ишемическая болезнь сердца» свидетельствуют о наличии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Fonts w:ascii="TimesNewRoman" w:hAnsi="TimesNewRoman"/>
          <w:color w:val="000000"/>
        </w:rPr>
        <w:t>полиморбидности</w:t>
      </w:r>
      <w:proofErr w:type="spellEnd"/>
      <w:r>
        <w:rPr>
          <w:rFonts w:ascii="TimesNewRoman" w:hAnsi="TimesNewRoman"/>
          <w:color w:val="000000"/>
        </w:rPr>
        <w:t xml:space="preserve"> патологии, приведшей к </w:t>
      </w:r>
      <w:proofErr w:type="spellStart"/>
      <w:r>
        <w:rPr>
          <w:rFonts w:ascii="TimesNewRoman" w:hAnsi="TimesNewRoman"/>
          <w:color w:val="000000"/>
        </w:rPr>
        <w:t>полипрагмазии</w:t>
      </w:r>
      <w:proofErr w:type="spellEnd"/>
      <w:r>
        <w:rPr>
          <w:rFonts w:ascii="TimesNewRoman" w:hAnsi="TimesNewRoman"/>
          <w:color w:val="000000"/>
        </w:rPr>
        <w:t xml:space="preserve"> (количество назначений на одного</w:t>
      </w:r>
      <w:r>
        <w:rPr>
          <w:rFonts w:ascii="TimesNewRoman" w:hAnsi="TimesNewRoman"/>
          <w:color w:val="000000"/>
        </w:rPr>
        <w:br/>
        <w:t xml:space="preserve">больного – 11,1). ЛС, влияющие на </w:t>
      </w:r>
      <w:proofErr w:type="gramStart"/>
      <w:r>
        <w:rPr>
          <w:rFonts w:ascii="TimesNewRoman" w:hAnsi="TimesNewRoman"/>
          <w:color w:val="000000"/>
        </w:rPr>
        <w:t>сердечно-сосудистую</w:t>
      </w:r>
      <w:proofErr w:type="gramEnd"/>
      <w:r>
        <w:rPr>
          <w:rFonts w:ascii="TimesNewRoman" w:hAnsi="TimesNewRoman"/>
          <w:color w:val="000000"/>
        </w:rPr>
        <w:t xml:space="preserve"> систему (ЛСССС), составили 46,4%</w:t>
      </w:r>
      <w:r>
        <w:rPr>
          <w:rFonts w:ascii="TimesNewRoman" w:hAnsi="TimesNewRoman"/>
          <w:color w:val="000000"/>
        </w:rPr>
        <w:br/>
        <w:t>от общего количества назначений, количество назначений на одного больного 5,16, т.е.</w:t>
      </w:r>
      <w:r>
        <w:rPr>
          <w:rFonts w:ascii="TimesNewRoman" w:hAnsi="TimesNewRoman"/>
          <w:color w:val="000000"/>
        </w:rPr>
        <w:br/>
        <w:t>назначение этих средств составляло большинство.</w:t>
      </w:r>
      <w:r>
        <w:rPr>
          <w:rFonts w:ascii="TimesNewRoman" w:hAnsi="TimesNewRoman"/>
          <w:color w:val="000000"/>
        </w:rPr>
        <w:br/>
        <w:t>В структуре назначений ЛСССС</w:t>
      </w:r>
      <w:proofErr w:type="gramStart"/>
      <w:r>
        <w:rPr>
          <w:rFonts w:ascii="TimesNewRoman" w:hAnsi="TimesNewRoman"/>
          <w:color w:val="000000"/>
        </w:rPr>
        <w:t xml:space="preserve"> (%) </w:t>
      </w:r>
      <w:proofErr w:type="gramEnd"/>
      <w:r>
        <w:rPr>
          <w:rFonts w:ascii="TimesNewRoman" w:hAnsi="TimesNewRoman"/>
          <w:color w:val="000000"/>
        </w:rPr>
        <w:t>ведущие позиции по частоте занимают:</w:t>
      </w:r>
      <w:r>
        <w:rPr>
          <w:rFonts w:ascii="TimesNewRoman" w:hAnsi="TimesNewRoman"/>
          <w:color w:val="000000"/>
        </w:rPr>
        <w:br/>
        <w:t>кардиологические метаболические средства (второстепенные ЛС) - 33%, бета-блокаторы –</w:t>
      </w:r>
      <w:r>
        <w:rPr>
          <w:rFonts w:ascii="TimesNewRoman" w:hAnsi="TimesNewRoman"/>
          <w:color w:val="000000"/>
        </w:rPr>
        <w:br/>
        <w:t>13%, диуретики – 13%, ингибиторы АПФ – 10% (см. рис.). Частотный анализ использования</w:t>
      </w:r>
      <w:r>
        <w:rPr>
          <w:rFonts w:ascii="TimesNewRoman" w:hAnsi="TimesNewRoman"/>
          <w:color w:val="000000"/>
        </w:rPr>
        <w:br/>
        <w:t>ЛС для лечения больных ИБС показал, что препаратами-лидерами по МНН и ТН являются</w:t>
      </w:r>
      <w:r>
        <w:rPr>
          <w:rFonts w:ascii="TimesNewRoman" w:hAnsi="TimesNewRoman"/>
          <w:color w:val="000000"/>
        </w:rPr>
        <w:br/>
        <w:t xml:space="preserve">препараты антиишемической и </w:t>
      </w:r>
      <w:proofErr w:type="spellStart"/>
      <w:r>
        <w:rPr>
          <w:rFonts w:ascii="TimesNewRoman" w:hAnsi="TimesNewRoman"/>
          <w:color w:val="000000"/>
        </w:rPr>
        <w:t>антиагрегантной</w:t>
      </w:r>
      <w:proofErr w:type="spellEnd"/>
      <w:r>
        <w:rPr>
          <w:rFonts w:ascii="TimesNewRoman" w:hAnsi="TimesNewRoman"/>
          <w:color w:val="000000"/>
        </w:rPr>
        <w:t xml:space="preserve"> терапии, лидерами назначения также</w:t>
      </w:r>
      <w:r>
        <w:rPr>
          <w:rFonts w:ascii="TimesNewRoman" w:hAnsi="TimesNewRoman"/>
          <w:color w:val="000000"/>
        </w:rPr>
        <w:br/>
        <w:t>являются второстепенные метаболические средства (</w:t>
      </w:r>
      <w:proofErr w:type="spellStart"/>
      <w:r>
        <w:rPr>
          <w:rFonts w:ascii="TimesNewRoman" w:hAnsi="TimesNewRoman"/>
          <w:color w:val="000000"/>
        </w:rPr>
        <w:t>мексидол</w:t>
      </w:r>
      <w:proofErr w:type="spellEnd"/>
      <w:r>
        <w:rPr>
          <w:rFonts w:ascii="TimesNewRoman" w:hAnsi="TimesNewRoman"/>
          <w:color w:val="000000"/>
        </w:rPr>
        <w:t xml:space="preserve"> и </w:t>
      </w:r>
      <w:proofErr w:type="spellStart"/>
      <w:r>
        <w:rPr>
          <w:rFonts w:ascii="TimesNewRoman" w:hAnsi="TimesNewRoman"/>
          <w:color w:val="000000"/>
        </w:rPr>
        <w:t>мельдоний</w:t>
      </w:r>
      <w:proofErr w:type="spellEnd"/>
      <w:r>
        <w:rPr>
          <w:rFonts w:ascii="TimesNewRoman" w:hAnsi="TimesNewRoman"/>
          <w:color w:val="000000"/>
        </w:rPr>
        <w:t>). Проведенный</w:t>
      </w:r>
      <w:r>
        <w:rPr>
          <w:rFonts w:ascii="TimesNewRoman" w:hAnsi="TimesNewRoman"/>
          <w:color w:val="000000"/>
        </w:rPr>
        <w:br/>
        <w:t>формальный VEN-анализ показал, что из 66 МНН, предназначенных для лечения больных</w:t>
      </w:r>
      <w:r>
        <w:rPr>
          <w:rFonts w:ascii="TimesNewRoman" w:hAnsi="TimesNewRoman"/>
          <w:color w:val="000000"/>
        </w:rPr>
        <w:br/>
        <w:t>ИБС – 53 (80%) относятся к категории «V» – жизненно необходимые, 13 (20%) ЛС – к</w:t>
      </w:r>
      <w:r>
        <w:rPr>
          <w:rFonts w:ascii="TimesNewRoman" w:hAnsi="TimesNewRoman"/>
          <w:color w:val="000000"/>
        </w:rPr>
        <w:br/>
        <w:t>категории «N» – второстепенные. Группу препаратов категории «N» – составили следующие</w:t>
      </w:r>
      <w:r>
        <w:rPr>
          <w:rFonts w:ascii="TimesNewRoman" w:hAnsi="TimesNewRoman"/>
          <w:color w:val="000000"/>
        </w:rPr>
        <w:br/>
        <w:t xml:space="preserve">МНН ЛС: </w:t>
      </w:r>
      <w:proofErr w:type="spellStart"/>
      <w:r>
        <w:rPr>
          <w:rFonts w:ascii="TimesNewRoman" w:hAnsi="TimesNewRoman"/>
          <w:color w:val="000000"/>
        </w:rPr>
        <w:t>мексидол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мельдоний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цитиколин</w:t>
      </w:r>
      <w:proofErr w:type="spellEnd"/>
      <w:r>
        <w:rPr>
          <w:rFonts w:ascii="TimesNewRoman" w:hAnsi="TimesNewRoman"/>
          <w:color w:val="000000"/>
        </w:rPr>
        <w:t xml:space="preserve">, L-лизина </w:t>
      </w:r>
      <w:proofErr w:type="spellStart"/>
      <w:r>
        <w:rPr>
          <w:rFonts w:ascii="TimesNewRoman" w:hAnsi="TimesNewRoman"/>
          <w:color w:val="000000"/>
        </w:rPr>
        <w:t>эсцинат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декскетопрофен</w:t>
      </w:r>
      <w:proofErr w:type="spellEnd"/>
      <w:r>
        <w:rPr>
          <w:rFonts w:ascii="TimesNewRoman" w:hAnsi="TimesNewRoman"/>
          <w:color w:val="000000"/>
        </w:rPr>
        <w:t>,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Fonts w:ascii="TimesNewRoman" w:hAnsi="TimesNewRoman"/>
          <w:color w:val="000000"/>
        </w:rPr>
        <w:t>пирацетам+тиотриазолин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актовегин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кортексин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корвитин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сульфокамфокаин</w:t>
      </w:r>
      <w:proofErr w:type="spellEnd"/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адвокард</w:t>
      </w:r>
      <w:proofErr w:type="spellEnd"/>
      <w:r>
        <w:rPr>
          <w:rFonts w:ascii="TimesNewRoman" w:hAnsi="TimesNewRoman"/>
          <w:color w:val="000000"/>
        </w:rPr>
        <w:t>,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Fonts w:ascii="TimesNewRoman" w:hAnsi="TimesNewRoman"/>
          <w:color w:val="000000"/>
        </w:rPr>
        <w:t>пирацетам</w:t>
      </w:r>
      <w:proofErr w:type="spellEnd"/>
      <w:r>
        <w:rPr>
          <w:rFonts w:ascii="TimesNewRoman" w:hAnsi="TimesNewRoman"/>
          <w:color w:val="000000"/>
        </w:rPr>
        <w:t xml:space="preserve"> и </w:t>
      </w:r>
      <w:proofErr w:type="spellStart"/>
      <w:r>
        <w:rPr>
          <w:rFonts w:ascii="TimesNewRoman" w:hAnsi="TimesNewRoman"/>
          <w:color w:val="000000"/>
        </w:rPr>
        <w:t>хлоропирамина</w:t>
      </w:r>
      <w:proofErr w:type="spellEnd"/>
      <w:r>
        <w:rPr>
          <w:rFonts w:ascii="TimesNewRoman" w:hAnsi="TimesNewRoman"/>
          <w:color w:val="000000"/>
        </w:rPr>
        <w:t xml:space="preserve"> гидрохлорид.</w:t>
      </w:r>
      <w:r>
        <w:rPr>
          <w:rFonts w:ascii="TimesNewRoman" w:hAnsi="TimesNewRoman"/>
          <w:color w:val="000000"/>
        </w:rPr>
        <w:br/>
      </w:r>
      <w:proofErr w:type="gramStart"/>
      <w:r>
        <w:rPr>
          <w:rFonts w:ascii="TimesNewRoman" w:hAnsi="TimesNewRoman"/>
          <w:color w:val="000000"/>
        </w:rPr>
        <w:t>Сопоставление результатов частотного и VEN-анализа свидетельствует, что 77% всех</w:t>
      </w:r>
      <w:r>
        <w:rPr>
          <w:rFonts w:ascii="TimesNewRoman" w:hAnsi="TimesNewRoman"/>
          <w:color w:val="000000"/>
        </w:rPr>
        <w:br/>
        <w:t>назначений составляют препараты категории «V» (жизненно необходимые) и 23% –</w:t>
      </w:r>
      <w:r>
        <w:rPr>
          <w:rFonts w:ascii="TimesNewRoman" w:hAnsi="TimesNewRoman"/>
          <w:color w:val="000000"/>
        </w:rPr>
        <w:br/>
        <w:t>препараты категории «N» (второстепенные).</w:t>
      </w:r>
      <w:r>
        <w:rPr>
          <w:rFonts w:ascii="TimesNewRoman" w:hAnsi="TimesNewRoman"/>
          <w:color w:val="000000"/>
        </w:rPr>
        <w:br/>
        <w:t>451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lastRenderedPageBreak/>
        <w:t xml:space="preserve">Выводы: </w:t>
      </w:r>
      <w:r>
        <w:rPr>
          <w:rFonts w:ascii="TimesNewRoman" w:hAnsi="TimesNewRoman"/>
          <w:color w:val="000000"/>
        </w:rPr>
        <w:t>1.Основные направления терапии больных ИБС в целом соответствовали</w:t>
      </w:r>
      <w:r>
        <w:rPr>
          <w:rFonts w:ascii="TimesNewRoman" w:hAnsi="TimesNewRoman"/>
          <w:color w:val="000000"/>
        </w:rPr>
        <w:br/>
        <w:t>требованиям действующего клинического протокола.</w:t>
      </w:r>
      <w:r>
        <w:rPr>
          <w:rFonts w:ascii="TimesNewRoman" w:hAnsi="TimesNewRoman"/>
          <w:color w:val="000000"/>
        </w:rPr>
        <w:br/>
        <w:t>2.В листах назначений большинство составили сердечно-сосудистые средства, но</w:t>
      </w:r>
      <w:r>
        <w:rPr>
          <w:rFonts w:ascii="TimesNewRoman" w:hAnsi="TimesNewRoman"/>
          <w:color w:val="000000"/>
        </w:rPr>
        <w:br/>
        <w:t>значительная их доля – второстепенные метаболические препараты.</w:t>
      </w:r>
      <w:r>
        <w:rPr>
          <w:rFonts w:ascii="TimesNewRoman" w:hAnsi="TimesNewRoman"/>
          <w:color w:val="000000"/>
        </w:rPr>
        <w:br/>
      </w:r>
      <w:proofErr w:type="gramEnd"/>
    </w:p>
    <w:p w:rsidR="00B40CA8" w:rsidRDefault="00B40CA8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B40CA8" w:rsidRDefault="00B40CA8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B40CA8" w:rsidRDefault="00B40CA8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B40CA8" w:rsidRDefault="00B40CA8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735244" w:rsidRDefault="00735244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735244" w:rsidRDefault="00735244" w:rsidP="001C0E33">
      <w:pPr>
        <w:rPr>
          <w:rFonts w:ascii="Bold" w:hAnsi="Bold"/>
          <w:b/>
          <w:bCs/>
          <w:color w:val="000000"/>
          <w:sz w:val="28"/>
          <w:szCs w:val="28"/>
        </w:rPr>
      </w:pPr>
    </w:p>
    <w:p w:rsidR="00735244" w:rsidRDefault="00735244" w:rsidP="001C0E33">
      <w:pPr>
        <w:rPr>
          <w:rFonts w:ascii="Bold" w:hAnsi="Bold"/>
          <w:b/>
          <w:bCs/>
          <w:color w:val="000000"/>
        </w:rPr>
      </w:pPr>
    </w:p>
    <w:sectPr w:rsidR="0073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50" w:rsidRDefault="00EA3150" w:rsidP="00545775">
      <w:r>
        <w:separator/>
      </w:r>
    </w:p>
  </w:endnote>
  <w:endnote w:type="continuationSeparator" w:id="0">
    <w:p w:rsidR="00EA3150" w:rsidRDefault="00EA3150" w:rsidP="005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50" w:rsidRDefault="00EA3150" w:rsidP="00545775">
      <w:r>
        <w:separator/>
      </w:r>
    </w:p>
  </w:footnote>
  <w:footnote w:type="continuationSeparator" w:id="0">
    <w:p w:rsidR="00EA3150" w:rsidRDefault="00EA3150" w:rsidP="0054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96"/>
    <w:rsid w:val="00011E16"/>
    <w:rsid w:val="00026147"/>
    <w:rsid w:val="00096882"/>
    <w:rsid w:val="001B63AC"/>
    <w:rsid w:val="001C0E33"/>
    <w:rsid w:val="00286C1B"/>
    <w:rsid w:val="0029176A"/>
    <w:rsid w:val="002A4663"/>
    <w:rsid w:val="0036286B"/>
    <w:rsid w:val="003B421A"/>
    <w:rsid w:val="004316D3"/>
    <w:rsid w:val="00545775"/>
    <w:rsid w:val="005B7056"/>
    <w:rsid w:val="00640834"/>
    <w:rsid w:val="00644EF9"/>
    <w:rsid w:val="00645F40"/>
    <w:rsid w:val="006B13AA"/>
    <w:rsid w:val="006D61D7"/>
    <w:rsid w:val="00735244"/>
    <w:rsid w:val="00773DAF"/>
    <w:rsid w:val="007F361C"/>
    <w:rsid w:val="008315CD"/>
    <w:rsid w:val="008402A7"/>
    <w:rsid w:val="00883C54"/>
    <w:rsid w:val="008C733A"/>
    <w:rsid w:val="008D77F4"/>
    <w:rsid w:val="00A911CE"/>
    <w:rsid w:val="00B124FD"/>
    <w:rsid w:val="00B40CA8"/>
    <w:rsid w:val="00BA0580"/>
    <w:rsid w:val="00BF4A55"/>
    <w:rsid w:val="00C644FF"/>
    <w:rsid w:val="00CF56F1"/>
    <w:rsid w:val="00D42C1D"/>
    <w:rsid w:val="00D43C96"/>
    <w:rsid w:val="00DD46B6"/>
    <w:rsid w:val="00EA3150"/>
    <w:rsid w:val="00EE3F42"/>
    <w:rsid w:val="00EE6047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47"/>
    <w:pPr>
      <w:spacing w:before="300" w:after="150"/>
      <w:outlineLvl w:val="0"/>
    </w:pPr>
    <w:rPr>
      <w:rFonts w:ascii="inherit" w:hAnsi="inherit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C47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FF1C47"/>
    <w:rPr>
      <w:b/>
      <w:bCs/>
    </w:rPr>
  </w:style>
  <w:style w:type="paragraph" w:styleId="a5">
    <w:name w:val="Normal (Web)"/>
    <w:basedOn w:val="a"/>
    <w:uiPriority w:val="99"/>
    <w:semiHidden/>
    <w:unhideWhenUsed/>
    <w:rsid w:val="00FF1C47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FF1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47"/>
    <w:pPr>
      <w:spacing w:before="300" w:after="150"/>
      <w:outlineLvl w:val="0"/>
    </w:pPr>
    <w:rPr>
      <w:rFonts w:ascii="inherit" w:hAnsi="inherit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C47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FF1C47"/>
    <w:rPr>
      <w:b/>
      <w:bCs/>
    </w:rPr>
  </w:style>
  <w:style w:type="paragraph" w:styleId="a5">
    <w:name w:val="Normal (Web)"/>
    <w:basedOn w:val="a"/>
    <w:uiPriority w:val="99"/>
    <w:semiHidden/>
    <w:unhideWhenUsed/>
    <w:rsid w:val="00FF1C47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FF1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9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94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0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11" w:color="BDBDBD"/>
                            <w:left w:val="single" w:sz="6" w:space="19" w:color="BDBDBD"/>
                            <w:bottom w:val="single" w:sz="6" w:space="19" w:color="BDBDBD"/>
                            <w:right w:val="single" w:sz="6" w:space="19" w:color="BDBD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36</cp:revision>
  <cp:lastPrinted>2016-01-14T13:36:00Z</cp:lastPrinted>
  <dcterms:created xsi:type="dcterms:W3CDTF">2015-06-19T11:22:00Z</dcterms:created>
  <dcterms:modified xsi:type="dcterms:W3CDTF">2016-11-22T11:52:00Z</dcterms:modified>
</cp:coreProperties>
</file>