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67" w:rsidRPr="00325C75" w:rsidRDefault="007B4267" w:rsidP="00BE21F0">
      <w:pPr>
        <w:spacing w:line="360" w:lineRule="auto"/>
        <w:jc w:val="center"/>
        <w:rPr>
          <w:rStyle w:val="hps"/>
          <w:sz w:val="28"/>
          <w:szCs w:val="28"/>
          <w:lang w:val="uk-UA"/>
        </w:rPr>
      </w:pPr>
      <w:r w:rsidRPr="00325C75">
        <w:rPr>
          <w:b/>
          <w:bCs/>
          <w:sz w:val="28"/>
          <w:szCs w:val="28"/>
          <w:lang w:val="uk-UA"/>
        </w:rPr>
        <w:t xml:space="preserve">Секція: </w:t>
      </w:r>
      <w:r w:rsidRPr="006B5782">
        <w:rPr>
          <w:color w:val="000000"/>
          <w:sz w:val="28"/>
          <w:szCs w:val="28"/>
          <w:shd w:val="clear" w:color="auto" w:fill="FEFEFE"/>
        </w:rPr>
        <w:t>Економіка природокористування та сучасні проблеми охорони навколишнього середовища</w:t>
      </w:r>
      <w:r w:rsidRPr="00325C75">
        <w:rPr>
          <w:rStyle w:val="hps"/>
          <w:sz w:val="28"/>
          <w:szCs w:val="28"/>
          <w:lang w:val="uk-UA"/>
        </w:rPr>
        <w:t>.</w:t>
      </w:r>
    </w:p>
    <w:p w:rsidR="007B4267" w:rsidRDefault="007B4267" w:rsidP="00BE21F0">
      <w:pPr>
        <w:spacing w:line="360" w:lineRule="auto"/>
        <w:jc w:val="right"/>
        <w:rPr>
          <w:b/>
          <w:sz w:val="28"/>
          <w:szCs w:val="28"/>
          <w:lang w:val="uk-UA"/>
        </w:rPr>
      </w:pPr>
    </w:p>
    <w:p w:rsidR="007B4267" w:rsidRPr="00325C75" w:rsidRDefault="007B4267" w:rsidP="00BE21F0">
      <w:pPr>
        <w:spacing w:line="360" w:lineRule="auto"/>
        <w:jc w:val="right"/>
        <w:rPr>
          <w:b/>
          <w:sz w:val="28"/>
          <w:szCs w:val="28"/>
          <w:lang w:val="uk-UA"/>
        </w:rPr>
      </w:pPr>
      <w:r w:rsidRPr="00325C75">
        <w:rPr>
          <w:b/>
          <w:sz w:val="28"/>
          <w:szCs w:val="28"/>
          <w:lang w:val="uk-UA"/>
        </w:rPr>
        <w:t>Сагайдак-Нікітюк Р.В.</w:t>
      </w:r>
    </w:p>
    <w:p w:rsidR="007B4267" w:rsidRPr="00325C75" w:rsidRDefault="007B4267" w:rsidP="00BE21F0">
      <w:pPr>
        <w:spacing w:line="360" w:lineRule="auto"/>
        <w:jc w:val="right"/>
        <w:rPr>
          <w:i/>
          <w:sz w:val="28"/>
          <w:szCs w:val="28"/>
          <w:lang w:val="uk-UA"/>
        </w:rPr>
      </w:pPr>
      <w:r w:rsidRPr="00325C75">
        <w:rPr>
          <w:i/>
          <w:sz w:val="28"/>
          <w:szCs w:val="28"/>
          <w:lang w:val="uk-UA"/>
        </w:rPr>
        <w:t>Доктор фармацевтичних наук, професор,</w:t>
      </w:r>
    </w:p>
    <w:p w:rsidR="007B4267" w:rsidRPr="00325C75" w:rsidRDefault="007B4267" w:rsidP="00BE21F0">
      <w:pPr>
        <w:spacing w:line="360" w:lineRule="auto"/>
        <w:jc w:val="right"/>
        <w:rPr>
          <w:i/>
          <w:sz w:val="28"/>
          <w:szCs w:val="28"/>
          <w:lang w:val="uk-UA"/>
        </w:rPr>
      </w:pPr>
      <w:r w:rsidRPr="00325C75">
        <w:rPr>
          <w:i/>
          <w:sz w:val="28"/>
          <w:szCs w:val="28"/>
          <w:lang w:val="uk-UA"/>
        </w:rPr>
        <w:t>Національний фармацевтичний університет,</w:t>
      </w:r>
    </w:p>
    <w:p w:rsidR="007B4267" w:rsidRDefault="007B4267" w:rsidP="00BE21F0">
      <w:pPr>
        <w:spacing w:line="360" w:lineRule="auto"/>
        <w:jc w:val="right"/>
        <w:rPr>
          <w:b/>
          <w:sz w:val="28"/>
          <w:szCs w:val="28"/>
          <w:lang w:val="uk-UA"/>
        </w:rPr>
      </w:pPr>
      <w:r w:rsidRPr="00325C75">
        <w:rPr>
          <w:i/>
          <w:sz w:val="28"/>
          <w:szCs w:val="28"/>
          <w:lang w:val="uk-UA"/>
        </w:rPr>
        <w:t>м. Харків, Україна</w:t>
      </w:r>
      <w:r w:rsidRPr="00325C75">
        <w:rPr>
          <w:b/>
          <w:sz w:val="28"/>
          <w:szCs w:val="28"/>
          <w:lang w:val="uk-UA"/>
        </w:rPr>
        <w:t xml:space="preserve"> </w:t>
      </w:r>
    </w:p>
    <w:p w:rsidR="007B4267" w:rsidRPr="00325C75" w:rsidRDefault="007B4267" w:rsidP="00BE21F0">
      <w:pPr>
        <w:spacing w:line="360" w:lineRule="auto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Голубцова К.К.</w:t>
      </w:r>
      <w:r w:rsidRPr="00325C75">
        <w:rPr>
          <w:b/>
          <w:sz w:val="28"/>
          <w:szCs w:val="28"/>
          <w:lang w:val="uk-UA"/>
        </w:rPr>
        <w:t>,</w:t>
      </w:r>
    </w:p>
    <w:p w:rsidR="007B4267" w:rsidRPr="00325C75" w:rsidRDefault="007B4267" w:rsidP="00BE21F0">
      <w:pPr>
        <w:spacing w:line="360" w:lineRule="auto"/>
        <w:jc w:val="right"/>
        <w:rPr>
          <w:i/>
          <w:sz w:val="28"/>
          <w:szCs w:val="28"/>
          <w:lang w:val="uk-UA"/>
        </w:rPr>
      </w:pPr>
      <w:r w:rsidRPr="00325C75">
        <w:rPr>
          <w:i/>
          <w:sz w:val="28"/>
          <w:szCs w:val="28"/>
          <w:lang w:val="uk-UA"/>
        </w:rPr>
        <w:t>здобувач кафедри менеджменту і адміністрування,</w:t>
      </w:r>
    </w:p>
    <w:p w:rsidR="007B4267" w:rsidRPr="00325C75" w:rsidRDefault="007B4267" w:rsidP="00BE21F0">
      <w:pPr>
        <w:spacing w:line="360" w:lineRule="auto"/>
        <w:jc w:val="right"/>
        <w:rPr>
          <w:i/>
          <w:sz w:val="28"/>
          <w:szCs w:val="28"/>
          <w:lang w:val="uk-UA"/>
        </w:rPr>
      </w:pPr>
      <w:r w:rsidRPr="00325C75">
        <w:rPr>
          <w:i/>
          <w:sz w:val="28"/>
          <w:szCs w:val="28"/>
          <w:lang w:val="uk-UA"/>
        </w:rPr>
        <w:t>Національний фармацевтичний університет,</w:t>
      </w:r>
    </w:p>
    <w:p w:rsidR="007B4267" w:rsidRPr="00325C75" w:rsidRDefault="007B4267" w:rsidP="00BE21F0">
      <w:pPr>
        <w:spacing w:line="360" w:lineRule="auto"/>
        <w:jc w:val="right"/>
        <w:rPr>
          <w:i/>
          <w:sz w:val="28"/>
          <w:szCs w:val="28"/>
          <w:lang w:val="uk-UA"/>
        </w:rPr>
      </w:pPr>
      <w:r w:rsidRPr="00325C75">
        <w:rPr>
          <w:i/>
          <w:sz w:val="28"/>
          <w:szCs w:val="28"/>
          <w:lang w:val="uk-UA"/>
        </w:rPr>
        <w:t>м. Харків, Україна</w:t>
      </w:r>
    </w:p>
    <w:p w:rsidR="007B4267" w:rsidRDefault="007B4267" w:rsidP="00BE21F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B4267" w:rsidRPr="00455995" w:rsidRDefault="007B4267" w:rsidP="00455995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455995">
        <w:rPr>
          <w:b/>
          <w:sz w:val="28"/>
          <w:szCs w:val="28"/>
          <w:lang w:val="uk-UA"/>
        </w:rPr>
        <w:t>ДОСЛІДЖЕННЯ ПІДХОДІВ ДО УПРАВЛІННЯ ЕКОЛОГІЧНИМИ РИЗИКАМИ ФАРМАЦЕВТИЧНИХ ПІДПРИЄМСТВ</w:t>
      </w:r>
    </w:p>
    <w:p w:rsidR="007B4267" w:rsidRDefault="007B4267" w:rsidP="00BE21F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B4267" w:rsidRPr="00EF168C" w:rsidRDefault="007B4267" w:rsidP="00BB22A1">
      <w:pPr>
        <w:spacing w:line="360" w:lineRule="auto"/>
        <w:ind w:firstLine="540"/>
        <w:jc w:val="both"/>
        <w:rPr>
          <w:spacing w:val="-3"/>
          <w:sz w:val="28"/>
          <w:szCs w:val="28"/>
          <w:lang w:val="uk-UA"/>
        </w:rPr>
      </w:pPr>
      <w:r w:rsidRPr="00EF168C">
        <w:rPr>
          <w:spacing w:val="-3"/>
          <w:sz w:val="28"/>
          <w:szCs w:val="28"/>
          <w:lang w:val="uk-UA"/>
        </w:rPr>
        <w:t>Забруднення повітря, води, ґрунту, продуктів харчування, а також вплив технологічних факторів (шуму, вібрації тощо) призводить до появи серцево-судинних й онкологічних захворювань людини, дистрофічних змін, алергії, гормональної дисфункції, змін імунної й ендокринної систем, скорочення тривалості життя та народження дітей з різними вродженими патологіями</w:t>
      </w:r>
      <w:r>
        <w:rPr>
          <w:spacing w:val="-3"/>
          <w:sz w:val="28"/>
          <w:szCs w:val="28"/>
          <w:lang w:val="uk-UA"/>
        </w:rPr>
        <w:t xml:space="preserve"> </w:t>
      </w:r>
      <w:r w:rsidRPr="006B5782">
        <w:rPr>
          <w:spacing w:val="-3"/>
          <w:sz w:val="28"/>
          <w:szCs w:val="28"/>
          <w:lang w:val="uk-UA"/>
        </w:rPr>
        <w:t>[</w:t>
      </w:r>
      <w:r>
        <w:rPr>
          <w:spacing w:val="-3"/>
          <w:sz w:val="28"/>
          <w:szCs w:val="28"/>
          <w:lang w:val="uk-UA"/>
        </w:rPr>
        <w:t>1, с. 23</w:t>
      </w:r>
      <w:r w:rsidRPr="006B5782">
        <w:rPr>
          <w:spacing w:val="-3"/>
          <w:sz w:val="28"/>
          <w:szCs w:val="28"/>
          <w:lang w:val="uk-UA"/>
        </w:rPr>
        <w:t>]</w:t>
      </w:r>
      <w:r w:rsidRPr="00EF168C">
        <w:rPr>
          <w:spacing w:val="-3"/>
          <w:sz w:val="28"/>
          <w:szCs w:val="28"/>
          <w:lang w:val="uk-UA"/>
        </w:rPr>
        <w:t xml:space="preserve">. Тому особливу увагу необхідно приділяти ретельному регулюванню й контролю процесів транспортування та переробки шкідливих і небезпечних речовин, стану основних, допоміжних і пакувальних матеріалів, які використовуються при виробництві, зберіганні й переміщенні </w:t>
      </w:r>
      <w:r>
        <w:rPr>
          <w:spacing w:val="-3"/>
          <w:sz w:val="28"/>
          <w:szCs w:val="28"/>
          <w:lang w:val="uk-UA"/>
        </w:rPr>
        <w:t>лікарських засобів (</w:t>
      </w:r>
      <w:r w:rsidRPr="00EF168C">
        <w:rPr>
          <w:spacing w:val="-3"/>
          <w:sz w:val="28"/>
          <w:szCs w:val="28"/>
          <w:lang w:val="uk-UA"/>
        </w:rPr>
        <w:t>ЛЗ</w:t>
      </w:r>
      <w:r>
        <w:rPr>
          <w:spacing w:val="-3"/>
          <w:sz w:val="28"/>
          <w:szCs w:val="28"/>
          <w:lang w:val="uk-UA"/>
        </w:rPr>
        <w:t>)</w:t>
      </w:r>
      <w:r w:rsidRPr="00EF168C">
        <w:rPr>
          <w:spacing w:val="-3"/>
          <w:sz w:val="28"/>
          <w:szCs w:val="28"/>
          <w:lang w:val="uk-UA"/>
        </w:rPr>
        <w:t>, а також поводженню з бракованою продукцією фармацевтичного в</w:t>
      </w:r>
      <w:r>
        <w:rPr>
          <w:spacing w:val="-3"/>
          <w:sz w:val="28"/>
          <w:szCs w:val="28"/>
          <w:lang w:val="uk-UA"/>
        </w:rPr>
        <w:t xml:space="preserve">иробництва, контрафактними ЛЗ </w:t>
      </w:r>
      <w:r w:rsidRPr="00EF168C">
        <w:rPr>
          <w:spacing w:val="-3"/>
          <w:sz w:val="28"/>
          <w:szCs w:val="28"/>
          <w:lang w:val="uk-UA"/>
        </w:rPr>
        <w:t>тощо.</w:t>
      </w:r>
    </w:p>
    <w:p w:rsidR="007B4267" w:rsidRPr="00BB22A1" w:rsidRDefault="007B4267" w:rsidP="00FB3D21">
      <w:pPr>
        <w:tabs>
          <w:tab w:val="num" w:pos="720"/>
          <w:tab w:val="left" w:pos="993"/>
        </w:tabs>
        <w:spacing w:line="360" w:lineRule="auto"/>
        <w:ind w:firstLine="709"/>
        <w:jc w:val="both"/>
        <w:rPr>
          <w:rStyle w:val="hps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Незважаючи на те, що сьогодні фармацевтичні підприємства не оцінюють екологічні ризики взагалі </w:t>
      </w:r>
      <w:r w:rsidRPr="00BB22A1">
        <w:rPr>
          <w:rStyle w:val="hps"/>
          <w:sz w:val="28"/>
          <w:szCs w:val="28"/>
          <w:lang w:val="uk-UA"/>
        </w:rPr>
        <w:t xml:space="preserve">(32 %) </w:t>
      </w:r>
      <w:r>
        <w:rPr>
          <w:rStyle w:val="hps"/>
          <w:sz w:val="28"/>
          <w:szCs w:val="28"/>
          <w:lang w:val="uk-UA"/>
        </w:rPr>
        <w:t xml:space="preserve">або для їх </w:t>
      </w:r>
      <w:r w:rsidRPr="00BB22A1">
        <w:rPr>
          <w:rStyle w:val="hps"/>
          <w:sz w:val="28"/>
          <w:szCs w:val="28"/>
          <w:lang w:val="uk-UA"/>
        </w:rPr>
        <w:t>оц</w:t>
      </w:r>
      <w:r>
        <w:rPr>
          <w:rStyle w:val="hps"/>
          <w:sz w:val="28"/>
          <w:szCs w:val="28"/>
          <w:lang w:val="uk-UA"/>
        </w:rPr>
        <w:t>і</w:t>
      </w:r>
      <w:r w:rsidRPr="00BB22A1">
        <w:rPr>
          <w:rStyle w:val="hps"/>
          <w:sz w:val="28"/>
          <w:szCs w:val="28"/>
          <w:lang w:val="uk-UA"/>
        </w:rPr>
        <w:t xml:space="preserve">нки </w:t>
      </w:r>
      <w:r>
        <w:rPr>
          <w:rStyle w:val="hps"/>
          <w:sz w:val="28"/>
          <w:szCs w:val="28"/>
          <w:lang w:val="uk-UA"/>
        </w:rPr>
        <w:t>використовується досвід і</w:t>
      </w:r>
      <w:r w:rsidRPr="00BB22A1">
        <w:rPr>
          <w:rStyle w:val="hps"/>
          <w:sz w:val="28"/>
          <w:szCs w:val="28"/>
          <w:lang w:val="uk-UA"/>
        </w:rPr>
        <w:t xml:space="preserve"> знан</w:t>
      </w:r>
      <w:r>
        <w:rPr>
          <w:rStyle w:val="hps"/>
          <w:sz w:val="28"/>
          <w:szCs w:val="28"/>
          <w:lang w:val="uk-UA"/>
        </w:rPr>
        <w:t>н</w:t>
      </w:r>
      <w:r w:rsidRPr="00BB22A1">
        <w:rPr>
          <w:rStyle w:val="hps"/>
          <w:sz w:val="28"/>
          <w:szCs w:val="28"/>
          <w:lang w:val="uk-UA"/>
        </w:rPr>
        <w:t>я менеджер</w:t>
      </w:r>
      <w:r>
        <w:rPr>
          <w:rStyle w:val="hps"/>
          <w:sz w:val="28"/>
          <w:szCs w:val="28"/>
          <w:lang w:val="uk-UA"/>
        </w:rPr>
        <w:t>і</w:t>
      </w:r>
      <w:r w:rsidRPr="00BB22A1">
        <w:rPr>
          <w:rStyle w:val="hps"/>
          <w:sz w:val="28"/>
          <w:szCs w:val="28"/>
          <w:lang w:val="uk-UA"/>
        </w:rPr>
        <w:t xml:space="preserve">в </w:t>
      </w:r>
      <w:r>
        <w:rPr>
          <w:rStyle w:val="hps"/>
          <w:sz w:val="28"/>
          <w:szCs w:val="28"/>
          <w:lang w:val="uk-UA"/>
        </w:rPr>
        <w:t>підприємств</w:t>
      </w:r>
      <w:r w:rsidRPr="00BB22A1">
        <w:rPr>
          <w:rStyle w:val="hps"/>
          <w:sz w:val="28"/>
          <w:szCs w:val="28"/>
          <w:lang w:val="uk-UA"/>
        </w:rPr>
        <w:t xml:space="preserve"> (26 %) (рис.</w:t>
      </w:r>
      <w:r>
        <w:rPr>
          <w:rStyle w:val="hps"/>
          <w:sz w:val="28"/>
          <w:szCs w:val="28"/>
          <w:lang w:val="uk-UA"/>
        </w:rPr>
        <w:t xml:space="preserve"> 1</w:t>
      </w:r>
      <w:r w:rsidRPr="00BB22A1">
        <w:rPr>
          <w:rStyle w:val="hps"/>
          <w:sz w:val="28"/>
          <w:szCs w:val="28"/>
          <w:lang w:val="uk-UA"/>
        </w:rPr>
        <w:t>)</w:t>
      </w:r>
      <w:r>
        <w:rPr>
          <w:rStyle w:val="hps"/>
          <w:sz w:val="28"/>
          <w:szCs w:val="28"/>
          <w:lang w:val="uk-UA"/>
        </w:rPr>
        <w:t xml:space="preserve">, </w:t>
      </w:r>
      <w:r w:rsidRPr="00BB22A1">
        <w:rPr>
          <w:sz w:val="28"/>
          <w:szCs w:val="28"/>
          <w:lang w:val="uk-UA" w:eastAsia="uk-UA"/>
        </w:rPr>
        <w:t xml:space="preserve">91,5% респондентів вважає актуальним питанням управління </w:t>
      </w:r>
      <w:r>
        <w:rPr>
          <w:sz w:val="28"/>
          <w:szCs w:val="28"/>
          <w:lang w:val="uk-UA" w:eastAsia="uk-UA"/>
        </w:rPr>
        <w:t>еколог</w:t>
      </w:r>
      <w:r w:rsidRPr="00BB22A1">
        <w:rPr>
          <w:sz w:val="28"/>
          <w:szCs w:val="28"/>
          <w:lang w:val="uk-UA" w:eastAsia="uk-UA"/>
        </w:rPr>
        <w:t>ічними ризиками для фармацевтичної галузі</w:t>
      </w:r>
      <w:r w:rsidRPr="00BB22A1">
        <w:rPr>
          <w:rStyle w:val="hps"/>
          <w:sz w:val="28"/>
          <w:szCs w:val="28"/>
          <w:lang w:val="uk-UA"/>
        </w:rPr>
        <w:t xml:space="preserve">. </w:t>
      </w:r>
    </w:p>
    <w:p w:rsidR="007B4267" w:rsidRPr="00BB22A1" w:rsidRDefault="007B4267" w:rsidP="00C22BE0">
      <w:pPr>
        <w:spacing w:line="360" w:lineRule="auto"/>
        <w:ind w:firstLine="567"/>
        <w:jc w:val="both"/>
        <w:rPr>
          <w:rStyle w:val="hps"/>
          <w:sz w:val="28"/>
          <w:szCs w:val="28"/>
          <w:lang w:val="uk-UA"/>
        </w:rPr>
      </w:pPr>
    </w:p>
    <w:p w:rsidR="007B4267" w:rsidRPr="00C22BE0" w:rsidRDefault="007B4267" w:rsidP="00C22BE0">
      <w:pPr>
        <w:spacing w:line="360" w:lineRule="auto"/>
        <w:jc w:val="center"/>
        <w:rPr>
          <w:sz w:val="28"/>
          <w:szCs w:val="28"/>
          <w:lang w:eastAsia="uk-UA"/>
        </w:rPr>
      </w:pPr>
      <w:r w:rsidRPr="00DF264C">
        <w:rPr>
          <w:noProof/>
          <w:sz w:val="28"/>
          <w:szCs w:val="28"/>
        </w:rPr>
        <w:object w:dxaOrig="8638" w:dyaOrig="30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165pt" o:ole="">
            <v:imagedata r:id="rId5" o:title="" croptop="-3434f" cropbottom="-3478f" cropleft="-4522f" cropright="-12276f"/>
            <o:lock v:ext="edit" aspectratio="f"/>
          </v:shape>
          <o:OLEObject Type="Embed" ProgID="Excel.Chart.8" ShapeID="_x0000_i1025" DrawAspect="Content" ObjectID="_1515328659" r:id="rId6"/>
        </w:object>
      </w:r>
    </w:p>
    <w:p w:rsidR="007B4267" w:rsidRPr="000047A5" w:rsidRDefault="007B4267" w:rsidP="00C356CD">
      <w:pPr>
        <w:spacing w:line="360" w:lineRule="auto"/>
        <w:ind w:firstLine="567"/>
        <w:jc w:val="both"/>
        <w:rPr>
          <w:sz w:val="28"/>
          <w:szCs w:val="28"/>
          <w:lang w:val="uk-UA" w:eastAsia="uk-UA"/>
        </w:rPr>
      </w:pPr>
      <w:r w:rsidRPr="00C22BE0">
        <w:rPr>
          <w:sz w:val="28"/>
          <w:szCs w:val="28"/>
          <w:lang w:eastAsia="uk-UA"/>
        </w:rPr>
        <w:t xml:space="preserve">Рис. </w:t>
      </w:r>
      <w:r>
        <w:rPr>
          <w:sz w:val="28"/>
          <w:szCs w:val="28"/>
          <w:lang w:val="uk-UA" w:eastAsia="uk-UA"/>
        </w:rPr>
        <w:t xml:space="preserve">1. </w:t>
      </w:r>
      <w:r w:rsidRPr="00C356CD">
        <w:rPr>
          <w:sz w:val="28"/>
          <w:szCs w:val="28"/>
          <w:lang w:eastAsia="uk-UA"/>
        </w:rPr>
        <w:t xml:space="preserve">Результати експертного опитування щодо доцільності використання різних наукових підходів до оцінки </w:t>
      </w:r>
      <w:r>
        <w:rPr>
          <w:sz w:val="28"/>
          <w:szCs w:val="28"/>
          <w:lang w:val="uk-UA" w:eastAsia="uk-UA"/>
        </w:rPr>
        <w:t>еколо</w:t>
      </w:r>
      <w:r w:rsidRPr="00C356CD">
        <w:rPr>
          <w:sz w:val="28"/>
          <w:szCs w:val="28"/>
          <w:lang w:eastAsia="uk-UA"/>
        </w:rPr>
        <w:t>гічних ризиків</w:t>
      </w:r>
      <w:r w:rsidRPr="000047A5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>на фармацевтичному підприємстві</w:t>
      </w:r>
    </w:p>
    <w:p w:rsidR="007B4267" w:rsidRPr="00C356CD" w:rsidRDefault="007B4267" w:rsidP="00C356CD">
      <w:pPr>
        <w:spacing w:line="360" w:lineRule="auto"/>
        <w:ind w:firstLine="567"/>
        <w:jc w:val="both"/>
        <w:rPr>
          <w:sz w:val="28"/>
          <w:szCs w:val="28"/>
          <w:lang w:eastAsia="uk-UA"/>
        </w:rPr>
      </w:pPr>
    </w:p>
    <w:p w:rsidR="007B4267" w:rsidRDefault="007B4267" w:rsidP="00C356CD">
      <w:pPr>
        <w:spacing w:line="360" w:lineRule="auto"/>
        <w:ind w:firstLine="567"/>
        <w:jc w:val="both"/>
        <w:rPr>
          <w:snapToGrid w:val="0"/>
          <w:sz w:val="28"/>
          <w:szCs w:val="28"/>
          <w:lang w:val="uk-UA"/>
        </w:rPr>
      </w:pPr>
      <w:r w:rsidRPr="00C356CD">
        <w:rPr>
          <w:sz w:val="28"/>
          <w:szCs w:val="28"/>
          <w:lang w:eastAsia="uk-UA"/>
        </w:rPr>
        <w:t xml:space="preserve">89% респондентів вказують на значний вплив величини </w:t>
      </w:r>
      <w:r>
        <w:rPr>
          <w:sz w:val="28"/>
          <w:szCs w:val="28"/>
          <w:lang w:val="uk-UA" w:eastAsia="uk-UA"/>
        </w:rPr>
        <w:t>екологіч</w:t>
      </w:r>
      <w:r w:rsidRPr="00C356CD">
        <w:rPr>
          <w:sz w:val="28"/>
          <w:szCs w:val="28"/>
          <w:lang w:eastAsia="uk-UA"/>
        </w:rPr>
        <w:t xml:space="preserve">них ризиків на ефективність діяльності </w:t>
      </w:r>
      <w:r>
        <w:rPr>
          <w:sz w:val="28"/>
          <w:szCs w:val="28"/>
          <w:lang w:val="uk-UA" w:eastAsia="uk-UA"/>
        </w:rPr>
        <w:t>фармацевтичних підприємств</w:t>
      </w:r>
      <w:r w:rsidRPr="00C356CD">
        <w:rPr>
          <w:sz w:val="28"/>
          <w:szCs w:val="28"/>
          <w:lang w:eastAsia="uk-UA"/>
        </w:rPr>
        <w:t xml:space="preserve"> і приблизно 85% респондентів </w:t>
      </w:r>
      <w:r>
        <w:rPr>
          <w:sz w:val="28"/>
          <w:szCs w:val="28"/>
          <w:lang w:eastAsia="uk-UA"/>
        </w:rPr>
        <w:t>–</w:t>
      </w:r>
      <w:r w:rsidRPr="00C356CD">
        <w:rPr>
          <w:sz w:val="28"/>
          <w:szCs w:val="28"/>
          <w:lang w:eastAsia="uk-UA"/>
        </w:rPr>
        <w:t xml:space="preserve"> на необхідність впровадження системи управління </w:t>
      </w:r>
      <w:r>
        <w:rPr>
          <w:sz w:val="28"/>
          <w:szCs w:val="28"/>
          <w:lang w:val="uk-UA" w:eastAsia="uk-UA"/>
        </w:rPr>
        <w:t>еколо</w:t>
      </w:r>
      <w:r w:rsidRPr="00C356CD">
        <w:rPr>
          <w:sz w:val="28"/>
          <w:szCs w:val="28"/>
          <w:lang w:eastAsia="uk-UA"/>
        </w:rPr>
        <w:t xml:space="preserve">гічними ризиками в діяльність </w:t>
      </w:r>
      <w:r>
        <w:rPr>
          <w:sz w:val="28"/>
          <w:szCs w:val="28"/>
          <w:lang w:val="uk-UA" w:eastAsia="uk-UA"/>
        </w:rPr>
        <w:t>фармацевтичних підприємств</w:t>
      </w:r>
      <w:r w:rsidRPr="00C356CD">
        <w:rPr>
          <w:sz w:val="28"/>
          <w:szCs w:val="28"/>
          <w:lang w:eastAsia="uk-UA"/>
        </w:rPr>
        <w:t>.</w:t>
      </w:r>
    </w:p>
    <w:p w:rsidR="007B4267" w:rsidRPr="00BE21F0" w:rsidRDefault="007B4267" w:rsidP="00BB22A1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E21F0">
        <w:rPr>
          <w:sz w:val="28"/>
          <w:szCs w:val="28"/>
          <w:lang w:val="uk-UA"/>
        </w:rPr>
        <w:t xml:space="preserve">Ефективне управління господарською діяльністю </w:t>
      </w:r>
      <w:r>
        <w:rPr>
          <w:sz w:val="28"/>
          <w:szCs w:val="28"/>
          <w:lang w:val="uk-UA"/>
        </w:rPr>
        <w:t>фармацевтичних</w:t>
      </w:r>
      <w:r w:rsidRPr="00BE21F0">
        <w:rPr>
          <w:sz w:val="28"/>
          <w:szCs w:val="28"/>
          <w:lang w:val="uk-UA"/>
        </w:rPr>
        <w:t xml:space="preserve"> підприємств неможливе без застосування </w:t>
      </w:r>
      <w:r>
        <w:rPr>
          <w:sz w:val="28"/>
          <w:szCs w:val="28"/>
          <w:lang w:val="uk-UA"/>
        </w:rPr>
        <w:t>відповід</w:t>
      </w:r>
      <w:r w:rsidRPr="00BE21F0">
        <w:rPr>
          <w:sz w:val="28"/>
          <w:szCs w:val="28"/>
          <w:lang w:val="uk-UA"/>
        </w:rPr>
        <w:t xml:space="preserve">них методів аналізу та управління ризиком. Управління ризиком </w:t>
      </w:r>
      <w:r>
        <w:rPr>
          <w:sz w:val="28"/>
          <w:szCs w:val="28"/>
          <w:lang w:val="uk-UA"/>
        </w:rPr>
        <w:t>являє</w:t>
      </w:r>
      <w:r w:rsidRPr="00BE21F0">
        <w:rPr>
          <w:sz w:val="28"/>
          <w:szCs w:val="28"/>
          <w:lang w:val="uk-UA"/>
        </w:rPr>
        <w:t xml:space="preserve"> собою процес підготовки та реалізації заходів, </w:t>
      </w:r>
      <w:r>
        <w:rPr>
          <w:sz w:val="28"/>
          <w:szCs w:val="28"/>
          <w:lang w:val="uk-UA"/>
        </w:rPr>
        <w:t>спрямованих на</w:t>
      </w:r>
      <w:r w:rsidRPr="00BE21F0">
        <w:rPr>
          <w:sz w:val="28"/>
          <w:szCs w:val="28"/>
          <w:lang w:val="uk-UA"/>
        </w:rPr>
        <w:t xml:space="preserve"> зниження небезпеки прийняття помилкового рішення, зменшення можливих негативних наслідків небажаного розвитку подій в ході реалізації прийнятих рішень</w:t>
      </w:r>
      <w:r>
        <w:rPr>
          <w:sz w:val="28"/>
          <w:szCs w:val="28"/>
          <w:lang w:val="uk-UA"/>
        </w:rPr>
        <w:t>,</w:t>
      </w:r>
      <w:r w:rsidRPr="00BE21F0">
        <w:rPr>
          <w:sz w:val="28"/>
          <w:szCs w:val="28"/>
          <w:lang w:val="uk-UA"/>
        </w:rPr>
        <w:t xml:space="preserve"> а також </w:t>
      </w:r>
      <w:r>
        <w:rPr>
          <w:sz w:val="28"/>
          <w:szCs w:val="28"/>
          <w:lang w:val="uk-UA"/>
        </w:rPr>
        <w:t>мінімізація</w:t>
      </w:r>
      <w:r w:rsidRPr="00BE21F0">
        <w:rPr>
          <w:sz w:val="28"/>
          <w:szCs w:val="28"/>
          <w:lang w:val="uk-UA"/>
        </w:rPr>
        <w:t xml:space="preserve"> небезпеки нереалізованих можливостей. </w:t>
      </w:r>
      <w:r w:rsidRPr="00BE21F0">
        <w:rPr>
          <w:sz w:val="28"/>
          <w:szCs w:val="28"/>
        </w:rPr>
        <w:t xml:space="preserve">Тому процес управління ризиком слід розглядати як підсистему управління </w:t>
      </w:r>
      <w:r>
        <w:rPr>
          <w:sz w:val="28"/>
          <w:szCs w:val="28"/>
          <w:lang w:val="uk-UA"/>
        </w:rPr>
        <w:t xml:space="preserve">фармацевтичним </w:t>
      </w:r>
      <w:r w:rsidRPr="00BE21F0">
        <w:rPr>
          <w:sz w:val="28"/>
          <w:szCs w:val="28"/>
        </w:rPr>
        <w:t xml:space="preserve">підприємством. </w:t>
      </w:r>
      <w:r>
        <w:rPr>
          <w:sz w:val="28"/>
          <w:szCs w:val="28"/>
          <w:lang w:val="uk-UA"/>
        </w:rPr>
        <w:t>При цьому в</w:t>
      </w:r>
      <w:r w:rsidRPr="00BE21F0">
        <w:rPr>
          <w:sz w:val="28"/>
          <w:szCs w:val="28"/>
        </w:rPr>
        <w:t xml:space="preserve"> умовах господарської діяльності </w:t>
      </w:r>
      <w:r>
        <w:rPr>
          <w:sz w:val="28"/>
          <w:szCs w:val="28"/>
          <w:lang w:val="uk-UA"/>
        </w:rPr>
        <w:t xml:space="preserve">фармацевтичних </w:t>
      </w:r>
      <w:r w:rsidRPr="00BE21F0">
        <w:rPr>
          <w:sz w:val="28"/>
          <w:szCs w:val="28"/>
        </w:rPr>
        <w:t>підприємств управління ризиком ґрунтується на концепції прийнятного ризику, що допускає можливість раціонального впливу на рівень ризику та можливість доведення його до прийнятного значення.</w:t>
      </w:r>
    </w:p>
    <w:p w:rsidR="007B4267" w:rsidRDefault="007B4267" w:rsidP="00BB22A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BB22A1">
        <w:rPr>
          <w:sz w:val="28"/>
          <w:szCs w:val="28"/>
          <w:lang w:eastAsia="uk-UA"/>
        </w:rPr>
        <w:t xml:space="preserve">Модель управління </w:t>
      </w:r>
      <w:r>
        <w:rPr>
          <w:sz w:val="28"/>
          <w:szCs w:val="28"/>
          <w:lang w:val="uk-UA" w:eastAsia="uk-UA"/>
        </w:rPr>
        <w:t xml:space="preserve">екологічними </w:t>
      </w:r>
      <w:r w:rsidRPr="00BB22A1">
        <w:rPr>
          <w:sz w:val="28"/>
          <w:szCs w:val="28"/>
          <w:lang w:eastAsia="uk-UA"/>
        </w:rPr>
        <w:t>ризик</w:t>
      </w:r>
      <w:r>
        <w:rPr>
          <w:sz w:val="28"/>
          <w:szCs w:val="28"/>
          <w:lang w:val="uk-UA" w:eastAsia="uk-UA"/>
        </w:rPr>
        <w:t>ами</w:t>
      </w:r>
      <w:r w:rsidRPr="00BB22A1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фармацевтичного підприємства </w:t>
      </w:r>
      <w:r w:rsidRPr="00BB22A1">
        <w:rPr>
          <w:sz w:val="28"/>
          <w:szCs w:val="28"/>
          <w:lang w:eastAsia="uk-UA"/>
        </w:rPr>
        <w:t>складається з чотирьох етапів</w:t>
      </w:r>
      <w:r>
        <w:rPr>
          <w:sz w:val="28"/>
          <w:szCs w:val="28"/>
          <w:lang w:val="uk-UA" w:eastAsia="uk-UA"/>
        </w:rPr>
        <w:t>:</w:t>
      </w:r>
    </w:p>
    <w:p w:rsidR="007B4267" w:rsidRDefault="007B4267" w:rsidP="00BB22A1">
      <w:pPr>
        <w:pStyle w:val="ListParagraph"/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І</w:t>
      </w:r>
      <w:r w:rsidRPr="00BB22A1">
        <w:rPr>
          <w:sz w:val="28"/>
          <w:szCs w:val="28"/>
          <w:lang w:eastAsia="uk-UA"/>
        </w:rPr>
        <w:t xml:space="preserve"> етап</w:t>
      </w:r>
      <w:r>
        <w:rPr>
          <w:sz w:val="28"/>
          <w:szCs w:val="28"/>
          <w:lang w:val="uk-UA" w:eastAsia="uk-UA"/>
        </w:rPr>
        <w:t>.</w:t>
      </w:r>
      <w:r w:rsidRPr="00BB22A1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>Порівняльна х</w:t>
      </w:r>
      <w:r w:rsidRPr="00BB22A1">
        <w:rPr>
          <w:sz w:val="28"/>
          <w:szCs w:val="28"/>
          <w:lang w:eastAsia="uk-UA"/>
        </w:rPr>
        <w:t>арактеристик</w:t>
      </w:r>
      <w:r>
        <w:rPr>
          <w:sz w:val="28"/>
          <w:szCs w:val="28"/>
          <w:lang w:val="uk-UA" w:eastAsia="uk-UA"/>
        </w:rPr>
        <w:t>а</w:t>
      </w:r>
      <w:r w:rsidRPr="00BB22A1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екологічного </w:t>
      </w:r>
      <w:r>
        <w:rPr>
          <w:sz w:val="28"/>
          <w:szCs w:val="28"/>
          <w:lang w:eastAsia="uk-UA"/>
        </w:rPr>
        <w:t>ризику</w:t>
      </w:r>
      <w:r>
        <w:rPr>
          <w:sz w:val="28"/>
          <w:szCs w:val="28"/>
          <w:lang w:val="uk-UA" w:eastAsia="uk-UA"/>
        </w:rPr>
        <w:t xml:space="preserve"> </w:t>
      </w:r>
      <w:r w:rsidRPr="00BB22A1">
        <w:rPr>
          <w:sz w:val="28"/>
          <w:szCs w:val="28"/>
          <w:lang w:eastAsia="uk-UA"/>
        </w:rPr>
        <w:t>з метою встановлення пріоритетів</w:t>
      </w:r>
      <w:r>
        <w:rPr>
          <w:sz w:val="28"/>
          <w:szCs w:val="28"/>
          <w:lang w:val="uk-UA" w:eastAsia="uk-UA"/>
        </w:rPr>
        <w:t xml:space="preserve"> на підставі якого встановл</w:t>
      </w:r>
      <w:r w:rsidRPr="00BB22A1">
        <w:rPr>
          <w:sz w:val="28"/>
          <w:szCs w:val="28"/>
          <w:lang w:eastAsia="uk-UA"/>
        </w:rPr>
        <w:t xml:space="preserve">юється ступінь небезпеки (шкідливості). </w:t>
      </w:r>
    </w:p>
    <w:p w:rsidR="007B4267" w:rsidRDefault="007B4267" w:rsidP="00BB22A1">
      <w:pPr>
        <w:pStyle w:val="ListParagraph"/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ІІ</w:t>
      </w:r>
      <w:r w:rsidRPr="00BB22A1">
        <w:rPr>
          <w:sz w:val="28"/>
          <w:szCs w:val="28"/>
          <w:lang w:eastAsia="uk-UA"/>
        </w:rPr>
        <w:t xml:space="preserve"> етап</w:t>
      </w:r>
      <w:r>
        <w:rPr>
          <w:sz w:val="28"/>
          <w:szCs w:val="28"/>
          <w:lang w:val="uk-UA" w:eastAsia="uk-UA"/>
        </w:rPr>
        <w:t>.</w:t>
      </w:r>
      <w:r w:rsidRPr="00BB22A1">
        <w:rPr>
          <w:sz w:val="28"/>
          <w:szCs w:val="28"/>
          <w:lang w:eastAsia="uk-UA"/>
        </w:rPr>
        <w:t xml:space="preserve"> Визначення прийнятності </w:t>
      </w:r>
      <w:r>
        <w:rPr>
          <w:sz w:val="28"/>
          <w:szCs w:val="28"/>
          <w:lang w:val="uk-UA" w:eastAsia="uk-UA"/>
        </w:rPr>
        <w:t xml:space="preserve">екологічного </w:t>
      </w:r>
      <w:r w:rsidRPr="00BB22A1">
        <w:rPr>
          <w:sz w:val="28"/>
          <w:szCs w:val="28"/>
          <w:lang w:eastAsia="uk-UA"/>
        </w:rPr>
        <w:t xml:space="preserve">ризику. </w:t>
      </w:r>
      <w:r>
        <w:rPr>
          <w:sz w:val="28"/>
          <w:szCs w:val="28"/>
          <w:lang w:val="uk-UA" w:eastAsia="uk-UA"/>
        </w:rPr>
        <w:t>Екологічний р</w:t>
      </w:r>
      <w:r w:rsidRPr="00BB22A1">
        <w:rPr>
          <w:sz w:val="28"/>
          <w:szCs w:val="28"/>
          <w:lang w:eastAsia="uk-UA"/>
        </w:rPr>
        <w:t xml:space="preserve">изик зіставляється з низкою соціально-економічних чинників: </w:t>
      </w:r>
      <w:r>
        <w:rPr>
          <w:sz w:val="28"/>
          <w:szCs w:val="28"/>
          <w:lang w:val="uk-UA" w:eastAsia="uk-UA"/>
        </w:rPr>
        <w:t>зиски</w:t>
      </w:r>
      <w:r w:rsidRPr="00BB22A1">
        <w:rPr>
          <w:sz w:val="28"/>
          <w:szCs w:val="28"/>
          <w:lang w:eastAsia="uk-UA"/>
        </w:rPr>
        <w:t xml:space="preserve"> від того чи іншого виду господарської діяльності; втрати, зумовлені використанням виду діяльності; наявність і можливості регулюючих заходів з метою зменшення негативного впливу на середовище та здоров'я людини. </w:t>
      </w:r>
    </w:p>
    <w:p w:rsidR="007B4267" w:rsidRDefault="007B4267" w:rsidP="00BB22A1">
      <w:pPr>
        <w:pStyle w:val="ListParagraph"/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ІІІ</w:t>
      </w:r>
      <w:r w:rsidRPr="003D09D3">
        <w:rPr>
          <w:sz w:val="28"/>
          <w:szCs w:val="28"/>
          <w:lang w:val="uk-UA" w:eastAsia="uk-UA"/>
        </w:rPr>
        <w:t xml:space="preserve"> етап</w:t>
      </w:r>
      <w:r>
        <w:rPr>
          <w:sz w:val="28"/>
          <w:szCs w:val="28"/>
          <w:lang w:val="uk-UA" w:eastAsia="uk-UA"/>
        </w:rPr>
        <w:t>.</w:t>
      </w:r>
      <w:r w:rsidRPr="003D09D3">
        <w:rPr>
          <w:sz w:val="28"/>
          <w:szCs w:val="28"/>
          <w:lang w:val="uk-UA" w:eastAsia="uk-UA"/>
        </w:rPr>
        <w:t xml:space="preserve"> Визначення пропорцій контролю</w:t>
      </w:r>
      <w:r>
        <w:rPr>
          <w:sz w:val="28"/>
          <w:szCs w:val="28"/>
          <w:lang w:val="uk-UA" w:eastAsia="uk-UA"/>
        </w:rPr>
        <w:t xml:space="preserve">. На цьому етапі здійснюється </w:t>
      </w:r>
      <w:r w:rsidRPr="003D09D3">
        <w:rPr>
          <w:sz w:val="28"/>
          <w:szCs w:val="28"/>
          <w:lang w:val="uk-UA" w:eastAsia="uk-UA"/>
        </w:rPr>
        <w:t xml:space="preserve"> виб</w:t>
      </w:r>
      <w:r>
        <w:rPr>
          <w:sz w:val="28"/>
          <w:szCs w:val="28"/>
          <w:lang w:val="uk-UA" w:eastAsia="uk-UA"/>
        </w:rPr>
        <w:t>і</w:t>
      </w:r>
      <w:r w:rsidRPr="003D09D3">
        <w:rPr>
          <w:sz w:val="28"/>
          <w:szCs w:val="28"/>
          <w:lang w:val="uk-UA" w:eastAsia="uk-UA"/>
        </w:rPr>
        <w:t>р одн</w:t>
      </w:r>
      <w:r>
        <w:rPr>
          <w:sz w:val="28"/>
          <w:szCs w:val="28"/>
          <w:lang w:val="uk-UA" w:eastAsia="uk-UA"/>
        </w:rPr>
        <w:t>ого</w:t>
      </w:r>
      <w:r w:rsidRPr="003D09D3">
        <w:rPr>
          <w:sz w:val="28"/>
          <w:szCs w:val="28"/>
          <w:lang w:val="uk-UA" w:eastAsia="uk-UA"/>
        </w:rPr>
        <w:t xml:space="preserve"> з типови</w:t>
      </w:r>
      <w:r>
        <w:rPr>
          <w:sz w:val="28"/>
          <w:szCs w:val="28"/>
          <w:lang w:val="uk-UA" w:eastAsia="uk-UA"/>
        </w:rPr>
        <w:t>х заходів, що сприяє зменшенню</w:t>
      </w:r>
      <w:r w:rsidRPr="003D09D3">
        <w:rPr>
          <w:sz w:val="28"/>
          <w:szCs w:val="28"/>
          <w:lang w:val="uk-UA" w:eastAsia="uk-UA"/>
        </w:rPr>
        <w:t xml:space="preserve"> або усунення  ризику.</w:t>
      </w:r>
    </w:p>
    <w:p w:rsidR="007B4267" w:rsidRDefault="007B4267" w:rsidP="00BB22A1">
      <w:pPr>
        <w:pStyle w:val="ListParagraph"/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en-US" w:eastAsia="uk-UA"/>
        </w:rPr>
        <w:t>IV</w:t>
      </w:r>
      <w:r>
        <w:rPr>
          <w:sz w:val="28"/>
          <w:szCs w:val="28"/>
          <w:lang w:val="uk-UA" w:eastAsia="uk-UA"/>
        </w:rPr>
        <w:t xml:space="preserve"> </w:t>
      </w:r>
      <w:r w:rsidRPr="003D09D3">
        <w:rPr>
          <w:sz w:val="28"/>
          <w:szCs w:val="28"/>
          <w:lang w:val="uk-UA" w:eastAsia="uk-UA"/>
        </w:rPr>
        <w:t>етап</w:t>
      </w:r>
      <w:r>
        <w:rPr>
          <w:sz w:val="28"/>
          <w:szCs w:val="28"/>
          <w:lang w:val="uk-UA" w:eastAsia="uk-UA"/>
        </w:rPr>
        <w:t>.</w:t>
      </w:r>
      <w:r w:rsidRPr="003D09D3">
        <w:rPr>
          <w:sz w:val="28"/>
          <w:szCs w:val="28"/>
          <w:lang w:val="uk-UA" w:eastAsia="uk-UA"/>
        </w:rPr>
        <w:t xml:space="preserve"> Прийняття регулюючого рішення в</w:t>
      </w:r>
      <w:r>
        <w:rPr>
          <w:sz w:val="28"/>
          <w:szCs w:val="28"/>
          <w:lang w:val="uk-UA" w:eastAsia="uk-UA"/>
        </w:rPr>
        <w:t xml:space="preserve">ідповідно до </w:t>
      </w:r>
      <w:r w:rsidRPr="003D09D3">
        <w:rPr>
          <w:sz w:val="28"/>
          <w:szCs w:val="28"/>
          <w:lang w:val="uk-UA" w:eastAsia="uk-UA"/>
        </w:rPr>
        <w:t>нормативних актів (законів, постанов, інструкцій) і їх положень</w:t>
      </w:r>
      <w:r>
        <w:rPr>
          <w:sz w:val="28"/>
          <w:szCs w:val="28"/>
          <w:lang w:val="uk-UA" w:eastAsia="uk-UA"/>
        </w:rPr>
        <w:t xml:space="preserve"> та</w:t>
      </w:r>
      <w:r w:rsidRPr="003D09D3">
        <w:rPr>
          <w:sz w:val="28"/>
          <w:szCs w:val="28"/>
          <w:lang w:val="uk-UA" w:eastAsia="uk-UA"/>
        </w:rPr>
        <w:t xml:space="preserve"> відповідн</w:t>
      </w:r>
      <w:r>
        <w:rPr>
          <w:sz w:val="28"/>
          <w:szCs w:val="28"/>
          <w:lang w:val="uk-UA" w:eastAsia="uk-UA"/>
        </w:rPr>
        <w:t>ої</w:t>
      </w:r>
      <w:r w:rsidRPr="003D09D3">
        <w:rPr>
          <w:sz w:val="28"/>
          <w:szCs w:val="28"/>
          <w:lang w:val="uk-UA" w:eastAsia="uk-UA"/>
        </w:rPr>
        <w:t xml:space="preserve"> реалізації заход</w:t>
      </w:r>
      <w:r>
        <w:rPr>
          <w:sz w:val="28"/>
          <w:szCs w:val="28"/>
          <w:lang w:val="uk-UA" w:eastAsia="uk-UA"/>
        </w:rPr>
        <w:t>ів</w:t>
      </w:r>
      <w:r w:rsidRPr="003D09D3">
        <w:rPr>
          <w:sz w:val="28"/>
          <w:szCs w:val="28"/>
          <w:lang w:val="uk-UA" w:eastAsia="uk-UA"/>
        </w:rPr>
        <w:t>, встановлен</w:t>
      </w:r>
      <w:r>
        <w:rPr>
          <w:sz w:val="28"/>
          <w:szCs w:val="28"/>
          <w:lang w:val="uk-UA" w:eastAsia="uk-UA"/>
        </w:rPr>
        <w:t>их</w:t>
      </w:r>
      <w:r w:rsidRPr="003D09D3">
        <w:rPr>
          <w:sz w:val="28"/>
          <w:szCs w:val="28"/>
          <w:lang w:val="uk-UA" w:eastAsia="uk-UA"/>
        </w:rPr>
        <w:t xml:space="preserve"> на поп</w:t>
      </w:r>
      <w:r>
        <w:rPr>
          <w:sz w:val="28"/>
          <w:szCs w:val="28"/>
          <w:lang w:val="uk-UA" w:eastAsia="uk-UA"/>
        </w:rPr>
        <w:t xml:space="preserve">ередній стадії </w:t>
      </w:r>
      <w:r w:rsidRPr="007B39CD">
        <w:rPr>
          <w:sz w:val="28"/>
          <w:szCs w:val="28"/>
          <w:lang w:val="uk-UA" w:eastAsia="uk-UA"/>
        </w:rPr>
        <w:t>[2, с. 43; 3, с. 129]</w:t>
      </w:r>
      <w:r>
        <w:rPr>
          <w:sz w:val="28"/>
          <w:szCs w:val="28"/>
          <w:lang w:val="uk-UA" w:eastAsia="uk-UA"/>
        </w:rPr>
        <w:t>.</w:t>
      </w:r>
    </w:p>
    <w:p w:rsidR="007B4267" w:rsidRPr="00C22BE0" w:rsidRDefault="007B4267" w:rsidP="00BE21F0">
      <w:pPr>
        <w:tabs>
          <w:tab w:val="num" w:pos="720"/>
          <w:tab w:val="left" w:pos="993"/>
        </w:tabs>
        <w:spacing w:line="360" w:lineRule="auto"/>
        <w:ind w:firstLine="709"/>
        <w:jc w:val="both"/>
        <w:rPr>
          <w:snapToGrid w:val="0"/>
          <w:sz w:val="28"/>
          <w:szCs w:val="28"/>
          <w:lang w:val="uk-UA"/>
        </w:rPr>
      </w:pPr>
      <w:r w:rsidRPr="00C22BE0">
        <w:rPr>
          <w:snapToGrid w:val="0"/>
          <w:sz w:val="28"/>
          <w:szCs w:val="28"/>
          <w:lang w:val="uk-UA"/>
        </w:rPr>
        <w:t xml:space="preserve">Підходи до управління ризиками, що виникають </w:t>
      </w:r>
      <w:r>
        <w:rPr>
          <w:snapToGrid w:val="0"/>
          <w:sz w:val="28"/>
          <w:szCs w:val="28"/>
          <w:lang w:val="uk-UA"/>
        </w:rPr>
        <w:t>на фармацевтичних підприємствах</w:t>
      </w:r>
      <w:r w:rsidRPr="00C22BE0">
        <w:rPr>
          <w:snapToGrid w:val="0"/>
          <w:sz w:val="28"/>
          <w:szCs w:val="28"/>
          <w:lang w:val="uk-UA"/>
        </w:rPr>
        <w:t xml:space="preserve">, ґрунтуються на </w:t>
      </w:r>
      <w:r>
        <w:rPr>
          <w:snapToGrid w:val="0"/>
          <w:sz w:val="28"/>
          <w:szCs w:val="28"/>
          <w:lang w:val="uk-UA"/>
        </w:rPr>
        <w:t>низьк</w:t>
      </w:r>
      <w:r w:rsidRPr="00C22BE0">
        <w:rPr>
          <w:snapToGrid w:val="0"/>
          <w:sz w:val="28"/>
          <w:szCs w:val="28"/>
          <w:lang w:val="uk-UA"/>
        </w:rPr>
        <w:t xml:space="preserve">і організаційно-економічних заходів, спрямованих на запобігання та зменшення ймовірності виникнення </w:t>
      </w:r>
      <w:r>
        <w:rPr>
          <w:snapToGrid w:val="0"/>
          <w:sz w:val="28"/>
          <w:szCs w:val="28"/>
          <w:lang w:val="uk-UA"/>
        </w:rPr>
        <w:t xml:space="preserve">екологічних </w:t>
      </w:r>
      <w:r w:rsidRPr="00C22BE0">
        <w:rPr>
          <w:snapToGrid w:val="0"/>
          <w:sz w:val="28"/>
          <w:szCs w:val="28"/>
          <w:lang w:val="uk-UA"/>
        </w:rPr>
        <w:t>ризиків:</w:t>
      </w:r>
    </w:p>
    <w:p w:rsidR="007B4267" w:rsidRDefault="007B4267" w:rsidP="003D09D3">
      <w:pPr>
        <w:pStyle w:val="ListParagraph"/>
        <w:numPr>
          <w:ilvl w:val="0"/>
          <w:numId w:val="3"/>
        </w:numPr>
        <w:tabs>
          <w:tab w:val="num" w:pos="720"/>
          <w:tab w:val="left" w:pos="993"/>
        </w:tabs>
        <w:spacing w:line="360" w:lineRule="auto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н</w:t>
      </w:r>
      <w:r w:rsidRPr="003D09D3">
        <w:rPr>
          <w:snapToGrid w:val="0"/>
          <w:sz w:val="28"/>
          <w:szCs w:val="28"/>
          <w:lang w:val="uk-UA"/>
        </w:rPr>
        <w:t>аявності достовірної,  своєчасної, повної інформації</w:t>
      </w:r>
      <w:r>
        <w:rPr>
          <w:snapToGrid w:val="0"/>
          <w:sz w:val="28"/>
          <w:szCs w:val="28"/>
          <w:lang w:val="uk-UA"/>
        </w:rPr>
        <w:t>;</w:t>
      </w:r>
    </w:p>
    <w:p w:rsidR="007B4267" w:rsidRDefault="007B4267" w:rsidP="003D09D3">
      <w:pPr>
        <w:pStyle w:val="ListParagraph"/>
        <w:numPr>
          <w:ilvl w:val="0"/>
          <w:numId w:val="3"/>
        </w:numPr>
        <w:tabs>
          <w:tab w:val="left" w:pos="284"/>
          <w:tab w:val="num" w:pos="993"/>
        </w:tabs>
        <w:spacing w:line="360" w:lineRule="auto"/>
        <w:ind w:left="0" w:firstLine="709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у</w:t>
      </w:r>
      <w:r w:rsidRPr="003D09D3">
        <w:rPr>
          <w:snapToGrid w:val="0"/>
          <w:sz w:val="28"/>
          <w:szCs w:val="28"/>
          <w:lang w:val="uk-UA"/>
        </w:rPr>
        <w:t xml:space="preserve">правляючих впливах на фармацевтичних підприємствах, що знижують ймовірність виникнення </w:t>
      </w:r>
      <w:r>
        <w:rPr>
          <w:snapToGrid w:val="0"/>
          <w:sz w:val="28"/>
          <w:szCs w:val="28"/>
          <w:lang w:val="uk-UA"/>
        </w:rPr>
        <w:t xml:space="preserve">екологічних </w:t>
      </w:r>
      <w:r w:rsidRPr="003D09D3">
        <w:rPr>
          <w:snapToGrid w:val="0"/>
          <w:sz w:val="28"/>
          <w:szCs w:val="28"/>
          <w:lang w:val="uk-UA"/>
        </w:rPr>
        <w:t xml:space="preserve">ризиків та </w:t>
      </w:r>
      <w:r>
        <w:rPr>
          <w:snapToGrid w:val="0"/>
          <w:sz w:val="28"/>
          <w:szCs w:val="28"/>
          <w:lang w:val="uk-UA"/>
        </w:rPr>
        <w:t>зменшують їх негативні наслідки;</w:t>
      </w:r>
    </w:p>
    <w:p w:rsidR="007B4267" w:rsidRDefault="007B4267" w:rsidP="003D09D3">
      <w:pPr>
        <w:pStyle w:val="ListParagraph"/>
        <w:numPr>
          <w:ilvl w:val="0"/>
          <w:numId w:val="3"/>
        </w:numPr>
        <w:tabs>
          <w:tab w:val="left" w:pos="284"/>
          <w:tab w:val="num" w:pos="993"/>
        </w:tabs>
        <w:spacing w:line="360" w:lineRule="auto"/>
        <w:ind w:left="0" w:firstLine="709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в</w:t>
      </w:r>
      <w:r w:rsidRPr="003D09D3">
        <w:rPr>
          <w:snapToGrid w:val="0"/>
          <w:sz w:val="28"/>
          <w:szCs w:val="28"/>
        </w:rPr>
        <w:t xml:space="preserve">икористанні нормативних матеріалів </w:t>
      </w:r>
      <w:r>
        <w:rPr>
          <w:snapToGrid w:val="0"/>
          <w:sz w:val="28"/>
          <w:szCs w:val="28"/>
          <w:lang w:val="uk-UA"/>
        </w:rPr>
        <w:t>(</w:t>
      </w:r>
      <w:r w:rsidRPr="003D09D3">
        <w:rPr>
          <w:snapToGrid w:val="0"/>
          <w:sz w:val="28"/>
          <w:szCs w:val="28"/>
        </w:rPr>
        <w:t>для правильного реагування на виникнення ризикових ситуацій</w:t>
      </w:r>
      <w:r>
        <w:rPr>
          <w:snapToGrid w:val="0"/>
          <w:sz w:val="28"/>
          <w:szCs w:val="28"/>
          <w:lang w:val="uk-UA"/>
        </w:rPr>
        <w:t>);</w:t>
      </w:r>
    </w:p>
    <w:p w:rsidR="007B4267" w:rsidRDefault="007B4267" w:rsidP="003D09D3">
      <w:pPr>
        <w:pStyle w:val="ListParagraph"/>
        <w:numPr>
          <w:ilvl w:val="0"/>
          <w:numId w:val="3"/>
        </w:numPr>
        <w:tabs>
          <w:tab w:val="left" w:pos="284"/>
          <w:tab w:val="num" w:pos="993"/>
        </w:tabs>
        <w:spacing w:line="360" w:lineRule="auto"/>
        <w:ind w:left="0" w:firstLine="709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н</w:t>
      </w:r>
      <w:r w:rsidRPr="003D09D3">
        <w:rPr>
          <w:snapToGrid w:val="0"/>
          <w:sz w:val="28"/>
          <w:szCs w:val="28"/>
        </w:rPr>
        <w:t>аявності розвин</w:t>
      </w:r>
      <w:r>
        <w:rPr>
          <w:snapToGrid w:val="0"/>
          <w:sz w:val="28"/>
          <w:szCs w:val="28"/>
        </w:rPr>
        <w:t>утої інфраструктури</w:t>
      </w:r>
      <w:r>
        <w:rPr>
          <w:snapToGrid w:val="0"/>
          <w:sz w:val="28"/>
          <w:szCs w:val="28"/>
          <w:lang w:val="uk-UA"/>
        </w:rPr>
        <w:t xml:space="preserve"> фармацевтичного підприємства (</w:t>
      </w:r>
      <w:r w:rsidRPr="003D09D3">
        <w:rPr>
          <w:snapToGrid w:val="0"/>
          <w:sz w:val="28"/>
          <w:szCs w:val="28"/>
        </w:rPr>
        <w:t>транспортної</w:t>
      </w:r>
      <w:r>
        <w:rPr>
          <w:snapToGrid w:val="0"/>
          <w:sz w:val="28"/>
          <w:szCs w:val="28"/>
          <w:lang w:val="uk-UA"/>
        </w:rPr>
        <w:t>,</w:t>
      </w:r>
      <w:r w:rsidRPr="003D09D3">
        <w:rPr>
          <w:snapToGrid w:val="0"/>
          <w:sz w:val="28"/>
          <w:szCs w:val="28"/>
        </w:rPr>
        <w:t xml:space="preserve"> інформаційної</w:t>
      </w:r>
      <w:r>
        <w:rPr>
          <w:snapToGrid w:val="0"/>
          <w:sz w:val="28"/>
          <w:szCs w:val="28"/>
          <w:lang w:val="uk-UA"/>
        </w:rPr>
        <w:t xml:space="preserve"> тощо);</w:t>
      </w:r>
    </w:p>
    <w:p w:rsidR="007B4267" w:rsidRDefault="007B4267" w:rsidP="003D09D3">
      <w:pPr>
        <w:pStyle w:val="ListParagraph"/>
        <w:numPr>
          <w:ilvl w:val="0"/>
          <w:numId w:val="3"/>
        </w:numPr>
        <w:tabs>
          <w:tab w:val="left" w:pos="284"/>
          <w:tab w:val="num" w:pos="993"/>
        </w:tabs>
        <w:spacing w:line="360" w:lineRule="auto"/>
        <w:ind w:left="0" w:firstLine="709"/>
        <w:jc w:val="both"/>
        <w:rPr>
          <w:snapToGrid w:val="0"/>
          <w:sz w:val="28"/>
          <w:szCs w:val="28"/>
          <w:lang w:val="uk-UA"/>
        </w:rPr>
      </w:pPr>
      <w:r w:rsidRPr="003D09D3">
        <w:rPr>
          <w:snapToGrid w:val="0"/>
          <w:sz w:val="28"/>
          <w:szCs w:val="28"/>
          <w:lang w:val="uk-UA"/>
        </w:rPr>
        <w:t>с</w:t>
      </w:r>
      <w:r w:rsidRPr="003D09D3">
        <w:rPr>
          <w:snapToGrid w:val="0"/>
          <w:sz w:val="28"/>
          <w:szCs w:val="28"/>
        </w:rPr>
        <w:t>трахуванні процесів транспортування, складування, вантажопереробки.</w:t>
      </w:r>
    </w:p>
    <w:p w:rsidR="007B4267" w:rsidRDefault="007B4267" w:rsidP="006B5782">
      <w:pPr>
        <w:pStyle w:val="BodyText3"/>
        <w:jc w:val="center"/>
        <w:rPr>
          <w:b/>
          <w:bCs/>
          <w:sz w:val="28"/>
          <w:szCs w:val="28"/>
          <w:lang w:val="uk-UA"/>
        </w:rPr>
      </w:pPr>
    </w:p>
    <w:p w:rsidR="007B4267" w:rsidRPr="006B5782" w:rsidRDefault="007B4267" w:rsidP="006B5782">
      <w:pPr>
        <w:pStyle w:val="BodyText3"/>
        <w:jc w:val="center"/>
        <w:rPr>
          <w:b/>
          <w:bCs/>
          <w:sz w:val="28"/>
          <w:szCs w:val="28"/>
          <w:lang w:val="uk-UA"/>
        </w:rPr>
      </w:pPr>
      <w:r w:rsidRPr="006B5782">
        <w:rPr>
          <w:b/>
          <w:bCs/>
          <w:sz w:val="28"/>
          <w:szCs w:val="28"/>
          <w:lang w:val="uk-UA"/>
        </w:rPr>
        <w:t>Список використаної літератури:</w:t>
      </w:r>
    </w:p>
    <w:p w:rsidR="007B4267" w:rsidRDefault="007B4267" w:rsidP="006B5782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5E79CB">
        <w:rPr>
          <w:sz w:val="28"/>
          <w:szCs w:val="28"/>
          <w:lang w:val="uk-UA"/>
        </w:rPr>
        <w:t>. Сагайдак-Нікітюк Р. В. Логістика управління відходами фармацевтичної галузі : монографія / Р. В. Сагайдак-Нікітюк. – Х.</w:t>
      </w:r>
      <w:r>
        <w:rPr>
          <w:sz w:val="28"/>
          <w:szCs w:val="28"/>
          <w:lang w:val="uk-UA"/>
        </w:rPr>
        <w:t xml:space="preserve"> </w:t>
      </w:r>
      <w:r w:rsidRPr="005E79CB">
        <w:rPr>
          <w:sz w:val="28"/>
          <w:szCs w:val="28"/>
          <w:lang w:val="uk-UA"/>
        </w:rPr>
        <w:t>: ППВ «Нове слово». 2010. – 290 с.</w:t>
      </w:r>
    </w:p>
    <w:p w:rsidR="007B4267" w:rsidRPr="00C44915" w:rsidRDefault="007B4267" w:rsidP="006A28B4">
      <w:pPr>
        <w:pStyle w:val="Style134"/>
        <w:spacing w:line="360" w:lineRule="auto"/>
        <w:ind w:firstLine="487"/>
        <w:rPr>
          <w:rStyle w:val="FontStyle649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649"/>
          <w:rFonts w:ascii="Times New Roman" w:hAnsi="Times New Roman" w:cs="Times New Roman"/>
          <w:sz w:val="28"/>
          <w:szCs w:val="28"/>
          <w:lang w:val="uk-UA" w:eastAsia="uk-UA"/>
        </w:rPr>
        <w:t>2. Олейник К. Э</w:t>
      </w:r>
      <w:r w:rsidRPr="00C44915">
        <w:rPr>
          <w:rStyle w:val="FontStyle649"/>
          <w:rFonts w:ascii="Times New Roman" w:hAnsi="Times New Roman" w:cs="Times New Roman"/>
          <w:sz w:val="28"/>
          <w:szCs w:val="28"/>
          <w:lang w:val="uk-UA" w:eastAsia="uk-UA"/>
        </w:rPr>
        <w:t xml:space="preserve">кологические риски хозяйственной (предпринимательской) деятельности: сущность, основние виды </w:t>
      </w:r>
      <w:r>
        <w:rPr>
          <w:rStyle w:val="FontStyle649"/>
          <w:rFonts w:ascii="Times New Roman" w:hAnsi="Times New Roman" w:cs="Times New Roman"/>
          <w:sz w:val="28"/>
          <w:szCs w:val="28"/>
          <w:lang w:val="uk-UA" w:eastAsia="uk-UA"/>
        </w:rPr>
        <w:t xml:space="preserve">/ К. Олейник </w:t>
      </w:r>
      <w:r w:rsidRPr="00C44915">
        <w:rPr>
          <w:rStyle w:val="FontStyle649"/>
          <w:rFonts w:ascii="Times New Roman" w:hAnsi="Times New Roman" w:cs="Times New Roman"/>
          <w:sz w:val="28"/>
          <w:szCs w:val="28"/>
          <w:lang w:val="uk-UA" w:eastAsia="uk-UA"/>
        </w:rPr>
        <w:t xml:space="preserve">// Управление риском. </w:t>
      </w:r>
      <w:r>
        <w:rPr>
          <w:rStyle w:val="FontStyle649"/>
          <w:rFonts w:ascii="Times New Roman" w:hAnsi="Times New Roman" w:cs="Times New Roman"/>
          <w:sz w:val="28"/>
          <w:szCs w:val="28"/>
          <w:lang w:val="uk-UA" w:eastAsia="uk-UA"/>
        </w:rPr>
        <w:t>–</w:t>
      </w:r>
      <w:r w:rsidRPr="00C44915">
        <w:rPr>
          <w:rStyle w:val="FontStyle649"/>
          <w:rFonts w:ascii="Times New Roman" w:hAnsi="Times New Roman" w:cs="Times New Roman"/>
          <w:sz w:val="28"/>
          <w:szCs w:val="28"/>
          <w:lang w:val="uk-UA" w:eastAsia="uk-UA"/>
        </w:rPr>
        <w:t xml:space="preserve"> 2000</w:t>
      </w:r>
      <w:r>
        <w:rPr>
          <w:rStyle w:val="FontStyle649"/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Pr="00C44915">
        <w:rPr>
          <w:rStyle w:val="FontStyle649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Style w:val="FontStyle649"/>
          <w:rFonts w:ascii="Times New Roman" w:hAnsi="Times New Roman" w:cs="Times New Roman"/>
          <w:sz w:val="28"/>
          <w:szCs w:val="28"/>
          <w:lang w:val="uk-UA" w:eastAsia="uk-UA"/>
        </w:rPr>
        <w:t>–</w:t>
      </w:r>
      <w:r w:rsidRPr="00C44915">
        <w:rPr>
          <w:rStyle w:val="FontStyle649"/>
          <w:rFonts w:ascii="Times New Roman" w:hAnsi="Times New Roman" w:cs="Times New Roman"/>
          <w:sz w:val="28"/>
          <w:szCs w:val="28"/>
          <w:lang w:val="uk-UA" w:eastAsia="uk-UA"/>
        </w:rPr>
        <w:t xml:space="preserve">  № 3. </w:t>
      </w:r>
      <w:r>
        <w:rPr>
          <w:rStyle w:val="FontStyle649"/>
          <w:rFonts w:ascii="Times New Roman" w:hAnsi="Times New Roman" w:cs="Times New Roman"/>
          <w:sz w:val="28"/>
          <w:szCs w:val="28"/>
          <w:lang w:val="uk-UA" w:eastAsia="uk-UA"/>
        </w:rPr>
        <w:t>–</w:t>
      </w:r>
      <w:r w:rsidRPr="00C44915">
        <w:rPr>
          <w:rStyle w:val="FontStyle649"/>
          <w:rFonts w:ascii="Times New Roman" w:hAnsi="Times New Roman" w:cs="Times New Roman"/>
          <w:sz w:val="28"/>
          <w:szCs w:val="28"/>
          <w:lang w:val="uk-UA" w:eastAsia="uk-UA"/>
        </w:rPr>
        <w:t xml:space="preserve">  С. 42-45.</w:t>
      </w:r>
    </w:p>
    <w:p w:rsidR="007B4267" w:rsidRPr="006A28B4" w:rsidRDefault="007B4267" w:rsidP="006B5782">
      <w:pPr>
        <w:spacing w:line="360" w:lineRule="auto"/>
        <w:ind w:firstLine="540"/>
        <w:jc w:val="both"/>
        <w:rPr>
          <w:rStyle w:val="FontStyle649"/>
          <w:rFonts w:ascii="Times New Roman" w:eastAsia="Arial Unicode MS" w:hAnsi="Times New Roman"/>
          <w:sz w:val="28"/>
          <w:szCs w:val="28"/>
          <w:lang w:eastAsia="uk-UA"/>
        </w:rPr>
      </w:pPr>
      <w:r w:rsidRPr="006A28B4">
        <w:rPr>
          <w:rStyle w:val="FontStyle649"/>
          <w:rFonts w:ascii="Times New Roman" w:eastAsia="Arial Unicode MS" w:hAnsi="Times New Roman"/>
          <w:sz w:val="28"/>
          <w:szCs w:val="28"/>
          <w:lang w:val="uk-UA" w:eastAsia="uk-UA"/>
        </w:rPr>
        <w:t>3.</w:t>
      </w:r>
      <w:r>
        <w:rPr>
          <w:rStyle w:val="FontStyle649"/>
          <w:rFonts w:cs="Century Schoolbook"/>
          <w:sz w:val="28"/>
          <w:szCs w:val="28"/>
          <w:lang w:val="uk-UA" w:eastAsia="uk-UA"/>
        </w:rPr>
        <w:t xml:space="preserve"> </w:t>
      </w:r>
      <w:r w:rsidRPr="006A28B4">
        <w:rPr>
          <w:rStyle w:val="FontStyle649"/>
          <w:rFonts w:ascii="Times New Roman" w:eastAsia="Arial Unicode MS" w:hAnsi="Times New Roman"/>
          <w:sz w:val="28"/>
          <w:szCs w:val="28"/>
          <w:lang w:val="uk-UA" w:eastAsia="uk-UA"/>
        </w:rPr>
        <w:t>Мельник Л.</w:t>
      </w:r>
      <w:r>
        <w:rPr>
          <w:rStyle w:val="FontStyle649"/>
          <w:rFonts w:ascii="Times New Roman" w:eastAsia="Arial Unicode MS" w:hAnsi="Times New Roman"/>
          <w:sz w:val="28"/>
          <w:szCs w:val="28"/>
          <w:lang w:val="uk-UA" w:eastAsia="uk-UA"/>
        </w:rPr>
        <w:t xml:space="preserve"> </w:t>
      </w:r>
      <w:r w:rsidRPr="006A28B4">
        <w:rPr>
          <w:rStyle w:val="FontStyle649"/>
          <w:rFonts w:ascii="Times New Roman" w:eastAsia="Arial Unicode MS" w:hAnsi="Times New Roman"/>
          <w:sz w:val="28"/>
          <w:szCs w:val="28"/>
          <w:lang w:val="uk-UA" w:eastAsia="uk-UA"/>
        </w:rPr>
        <w:t>Г. Экологическая экономика</w:t>
      </w:r>
      <w:r>
        <w:rPr>
          <w:rStyle w:val="FontStyle649"/>
          <w:rFonts w:ascii="Times New Roman" w:eastAsia="Arial Unicode MS" w:hAnsi="Times New Roman"/>
          <w:sz w:val="28"/>
          <w:szCs w:val="28"/>
          <w:lang w:val="uk-UA" w:eastAsia="uk-UA"/>
        </w:rPr>
        <w:t xml:space="preserve"> </w:t>
      </w:r>
      <w:r w:rsidRPr="006A28B4">
        <w:rPr>
          <w:rStyle w:val="FontStyle649"/>
          <w:rFonts w:ascii="Times New Roman" w:eastAsia="Arial Unicode MS" w:hAnsi="Times New Roman"/>
          <w:sz w:val="28"/>
          <w:szCs w:val="28"/>
          <w:lang w:val="uk-UA" w:eastAsia="uk-UA"/>
        </w:rPr>
        <w:t xml:space="preserve">: </w:t>
      </w:r>
      <w:r>
        <w:rPr>
          <w:rStyle w:val="FontStyle649"/>
          <w:rFonts w:ascii="Times New Roman" w:eastAsia="Arial Unicode MS" w:hAnsi="Times New Roman"/>
          <w:sz w:val="28"/>
          <w:szCs w:val="28"/>
          <w:lang w:val="uk-UA" w:eastAsia="uk-UA"/>
        </w:rPr>
        <w:t>у</w:t>
      </w:r>
      <w:r w:rsidRPr="006A28B4">
        <w:rPr>
          <w:rStyle w:val="FontStyle649"/>
          <w:rFonts w:ascii="Times New Roman" w:eastAsia="Arial Unicode MS" w:hAnsi="Times New Roman"/>
          <w:sz w:val="28"/>
          <w:szCs w:val="28"/>
          <w:lang w:val="uk-UA" w:eastAsia="uk-UA"/>
        </w:rPr>
        <w:t>чебник</w:t>
      </w:r>
      <w:r>
        <w:rPr>
          <w:rStyle w:val="FontStyle649"/>
          <w:rFonts w:ascii="Times New Roman" w:eastAsia="Arial Unicode MS" w:hAnsi="Times New Roman"/>
          <w:sz w:val="28"/>
          <w:szCs w:val="28"/>
          <w:lang w:val="uk-UA" w:eastAsia="uk-UA"/>
        </w:rPr>
        <w:t xml:space="preserve"> / Л. Г. Мельни. –</w:t>
      </w:r>
      <w:r w:rsidRPr="006A28B4">
        <w:rPr>
          <w:rStyle w:val="FontStyle649"/>
          <w:rFonts w:ascii="Times New Roman" w:eastAsia="Arial Unicode MS" w:hAnsi="Times New Roman"/>
          <w:sz w:val="28"/>
          <w:szCs w:val="28"/>
          <w:lang w:val="uk-UA" w:eastAsia="uk-UA"/>
        </w:rPr>
        <w:t xml:space="preserve"> Сумы</w:t>
      </w:r>
      <w:r>
        <w:rPr>
          <w:rStyle w:val="FontStyle649"/>
          <w:rFonts w:ascii="Times New Roman" w:eastAsia="Arial Unicode MS" w:hAnsi="Times New Roman"/>
          <w:sz w:val="28"/>
          <w:szCs w:val="28"/>
          <w:lang w:val="uk-UA" w:eastAsia="uk-UA"/>
        </w:rPr>
        <w:t xml:space="preserve"> </w:t>
      </w:r>
      <w:r w:rsidRPr="006A28B4">
        <w:rPr>
          <w:rStyle w:val="FontStyle649"/>
          <w:rFonts w:ascii="Times New Roman" w:eastAsia="Arial Unicode MS" w:hAnsi="Times New Roman"/>
          <w:sz w:val="28"/>
          <w:szCs w:val="28"/>
          <w:lang w:val="uk-UA" w:eastAsia="uk-UA"/>
        </w:rPr>
        <w:t>: Издательство «Университетская книга», 2001</w:t>
      </w:r>
      <w:r>
        <w:rPr>
          <w:rStyle w:val="FontStyle649"/>
          <w:rFonts w:ascii="Times New Roman" w:eastAsia="Arial Unicode MS" w:hAnsi="Times New Roman"/>
          <w:sz w:val="28"/>
          <w:szCs w:val="28"/>
          <w:lang w:val="uk-UA" w:eastAsia="uk-UA"/>
        </w:rPr>
        <w:t xml:space="preserve">. </w:t>
      </w:r>
      <w:r>
        <w:rPr>
          <w:rStyle w:val="FontStyle649"/>
          <w:rFonts w:ascii="Times New Roman" w:hAnsi="Times New Roman"/>
          <w:sz w:val="28"/>
          <w:szCs w:val="28"/>
          <w:lang w:val="uk-UA" w:eastAsia="uk-UA"/>
        </w:rPr>
        <w:t>–</w:t>
      </w:r>
      <w:r w:rsidRPr="00C44915">
        <w:rPr>
          <w:rStyle w:val="FontStyle649"/>
          <w:rFonts w:cs="Century Schoolbook"/>
          <w:sz w:val="28"/>
          <w:szCs w:val="28"/>
          <w:lang w:val="uk-UA" w:eastAsia="uk-UA"/>
        </w:rPr>
        <w:t xml:space="preserve"> </w:t>
      </w:r>
      <w:r>
        <w:rPr>
          <w:rStyle w:val="FontStyle649"/>
          <w:rFonts w:ascii="Times New Roman" w:eastAsia="Arial Unicode MS" w:hAnsi="Times New Roman"/>
          <w:sz w:val="28"/>
          <w:szCs w:val="28"/>
          <w:lang w:val="uk-UA" w:eastAsia="uk-UA"/>
        </w:rPr>
        <w:t xml:space="preserve"> 350 с.</w:t>
      </w:r>
    </w:p>
    <w:p w:rsidR="007B4267" w:rsidRPr="006B5782" w:rsidRDefault="007B4267" w:rsidP="006B5782">
      <w:pPr>
        <w:tabs>
          <w:tab w:val="left" w:pos="284"/>
          <w:tab w:val="num" w:pos="993"/>
        </w:tabs>
        <w:spacing w:line="360" w:lineRule="auto"/>
        <w:jc w:val="both"/>
        <w:rPr>
          <w:snapToGrid w:val="0"/>
          <w:sz w:val="28"/>
          <w:szCs w:val="28"/>
          <w:lang w:val="uk-UA"/>
        </w:rPr>
      </w:pPr>
    </w:p>
    <w:sectPr w:rsidR="007B4267" w:rsidRPr="006B5782" w:rsidSect="0047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2144"/>
    <w:multiLevelType w:val="hybridMultilevel"/>
    <w:tmpl w:val="F976EF72"/>
    <w:lvl w:ilvl="0" w:tplc="87CC442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EC93768"/>
    <w:multiLevelType w:val="hybridMultilevel"/>
    <w:tmpl w:val="11DA32FC"/>
    <w:lvl w:ilvl="0" w:tplc="CF34907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65634CB"/>
    <w:multiLevelType w:val="hybridMultilevel"/>
    <w:tmpl w:val="D774215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3375"/>
        </w:tabs>
        <w:ind w:left="3375" w:hanging="1035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1F0"/>
    <w:rsid w:val="000047A5"/>
    <w:rsid w:val="00097883"/>
    <w:rsid w:val="0024312A"/>
    <w:rsid w:val="00325C75"/>
    <w:rsid w:val="003B3979"/>
    <w:rsid w:val="003D09D3"/>
    <w:rsid w:val="003D7A99"/>
    <w:rsid w:val="00455995"/>
    <w:rsid w:val="0047498B"/>
    <w:rsid w:val="005E79CB"/>
    <w:rsid w:val="006A28B4"/>
    <w:rsid w:val="006B5782"/>
    <w:rsid w:val="007736EA"/>
    <w:rsid w:val="007B39CD"/>
    <w:rsid w:val="007B4267"/>
    <w:rsid w:val="00810850"/>
    <w:rsid w:val="009446A2"/>
    <w:rsid w:val="0097674A"/>
    <w:rsid w:val="00BB22A1"/>
    <w:rsid w:val="00BE21F0"/>
    <w:rsid w:val="00C22BE0"/>
    <w:rsid w:val="00C356CD"/>
    <w:rsid w:val="00C44915"/>
    <w:rsid w:val="00C91DB2"/>
    <w:rsid w:val="00DF264C"/>
    <w:rsid w:val="00E84ABD"/>
    <w:rsid w:val="00EF168C"/>
    <w:rsid w:val="00F5086D"/>
    <w:rsid w:val="00FB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1F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BE21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E21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21F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BB22A1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rsid w:val="006B578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B578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Style134">
    <w:name w:val="Style134"/>
    <w:basedOn w:val="Normal"/>
    <w:uiPriority w:val="99"/>
    <w:rsid w:val="006A28B4"/>
    <w:pPr>
      <w:widowControl w:val="0"/>
      <w:autoSpaceDE w:val="0"/>
      <w:autoSpaceDN w:val="0"/>
      <w:adjustRightInd w:val="0"/>
      <w:spacing w:line="330" w:lineRule="exact"/>
      <w:ind w:firstLine="498"/>
      <w:jc w:val="both"/>
    </w:pPr>
    <w:rPr>
      <w:rFonts w:ascii="Arial Unicode MS" w:eastAsia="Arial Unicode MS" w:hAnsi="Calibri" w:cs="Arial Unicode MS"/>
    </w:rPr>
  </w:style>
  <w:style w:type="character" w:customStyle="1" w:styleId="FontStyle649">
    <w:name w:val="Font Style649"/>
    <w:uiPriority w:val="99"/>
    <w:rsid w:val="006A28B4"/>
    <w:rPr>
      <w:rFonts w:ascii="Century Schoolbook" w:hAnsi="Century Schoolbook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234</TotalTime>
  <Pages>4</Pages>
  <Words>725</Words>
  <Characters>4138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 </cp:lastModifiedBy>
  <cp:revision>6</cp:revision>
  <dcterms:created xsi:type="dcterms:W3CDTF">2016-01-23T13:47:00Z</dcterms:created>
  <dcterms:modified xsi:type="dcterms:W3CDTF">2016-01-26T13:51:00Z</dcterms:modified>
</cp:coreProperties>
</file>