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E" w:rsidRDefault="002F31B4" w:rsidP="002F31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1B4">
        <w:rPr>
          <w:rFonts w:ascii="Times New Roman" w:hAnsi="Times New Roman" w:cs="Times New Roman"/>
          <w:b/>
          <w:sz w:val="28"/>
          <w:szCs w:val="28"/>
          <w:lang w:val="uk-UA"/>
        </w:rPr>
        <w:t>ФАРМАКОЕПІДЕМІОЛОГІЧНІ ДОСЛІДЖЕННЯ СПОЖИВАННЯ АНТИБАКТЕРІАЛЬНИХ ПРЕПАРАТІВ ГРУП МАКРОЛІДІВ</w:t>
      </w:r>
    </w:p>
    <w:p w:rsidR="00E93DB1" w:rsidRDefault="002F31B4" w:rsidP="002F31B4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31B4">
        <w:rPr>
          <w:rFonts w:ascii="Times New Roman" w:hAnsi="Times New Roman" w:cs="Times New Roman"/>
          <w:sz w:val="28"/>
          <w:szCs w:val="28"/>
          <w:lang w:val="uk-UA"/>
        </w:rPr>
        <w:t>Матяшова</w:t>
      </w:r>
      <w:proofErr w:type="spellEnd"/>
      <w:r w:rsidRPr="002F31B4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E93DB1" w:rsidRPr="00E93DB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31B4" w:rsidRDefault="00E93DB1" w:rsidP="002F31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2F31B4">
        <w:rPr>
          <w:rFonts w:ascii="Times New Roman" w:hAnsi="Times New Roman"/>
          <w:sz w:val="28"/>
          <w:szCs w:val="28"/>
          <w:lang w:val="uk-UA"/>
        </w:rPr>
        <w:t xml:space="preserve">афедра </w:t>
      </w:r>
      <w:proofErr w:type="spellStart"/>
      <w:r w:rsidRPr="002F31B4">
        <w:rPr>
          <w:rFonts w:ascii="Times New Roman" w:hAnsi="Times New Roman"/>
          <w:sz w:val="28"/>
          <w:szCs w:val="28"/>
          <w:lang w:val="uk-UA"/>
        </w:rPr>
        <w:t>фармакоекономіки</w:t>
      </w:r>
      <w:proofErr w:type="spellEnd"/>
    </w:p>
    <w:p w:rsidR="00E93DB1" w:rsidRDefault="002F31B4" w:rsidP="00E93DB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F31B4">
        <w:rPr>
          <w:rFonts w:ascii="Times New Roman" w:hAnsi="Times New Roman"/>
          <w:sz w:val="28"/>
          <w:szCs w:val="28"/>
          <w:lang w:val="uk-UA"/>
        </w:rPr>
        <w:t>Національний фармацевтичний університет</w:t>
      </w:r>
    </w:p>
    <w:p w:rsidR="00E93DB1" w:rsidRDefault="00E93DB1" w:rsidP="00E93DB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feknfau@ukr.net</w:t>
      </w:r>
    </w:p>
    <w:p w:rsidR="002F31B4" w:rsidRDefault="002F31B4" w:rsidP="00E93DB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3DB1">
        <w:rPr>
          <w:rFonts w:ascii="Times New Roman" w:hAnsi="Times New Roman"/>
          <w:i/>
          <w:sz w:val="28"/>
          <w:szCs w:val="28"/>
          <w:lang w:val="uk-UA"/>
        </w:rPr>
        <w:t>Ключові слова</w:t>
      </w:r>
      <w:r w:rsidRPr="00E93DB1">
        <w:rPr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антибактеріальні препарати,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фармакоекономічний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аналіз,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фармакоепідеміологія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макроліди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бактеріальні інфекції</w:t>
      </w:r>
    </w:p>
    <w:p w:rsidR="002F31B4" w:rsidRDefault="002F31B4" w:rsidP="002F31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1B4" w:rsidRPr="00E93DB1" w:rsidRDefault="002F31B4" w:rsidP="00E93D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3DB1">
        <w:rPr>
          <w:rFonts w:ascii="Times New Roman" w:hAnsi="Times New Roman"/>
          <w:i/>
          <w:sz w:val="28"/>
          <w:szCs w:val="28"/>
          <w:lang w:val="en-US"/>
        </w:rPr>
        <w:t xml:space="preserve">The structure of the pharmaceutical market of antibiotics of the macrolide group in Ukraine was </w:t>
      </w:r>
      <w:proofErr w:type="spellStart"/>
      <w:r w:rsidRPr="00E93DB1">
        <w:rPr>
          <w:rFonts w:ascii="Times New Roman" w:hAnsi="Times New Roman"/>
          <w:i/>
          <w:sz w:val="28"/>
          <w:szCs w:val="28"/>
          <w:lang w:val="en-US"/>
        </w:rPr>
        <w:t>analysed</w:t>
      </w:r>
      <w:proofErr w:type="spellEnd"/>
      <w:r w:rsidRPr="00E93DB1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93DB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93DB1">
        <w:rPr>
          <w:rFonts w:ascii="Times New Roman" w:eastAsia="Times New Roman" w:hAnsi="Times New Roman"/>
          <w:bCs/>
          <w:i/>
          <w:kern w:val="24"/>
          <w:sz w:val="28"/>
          <w:szCs w:val="28"/>
          <w:lang w:val="en-US"/>
        </w:rPr>
        <w:t xml:space="preserve">The analysis of consumption on the basis of outpatient consumption of the drugs during </w:t>
      </w:r>
      <w:r w:rsidR="00C77D90" w:rsidRPr="00E93DB1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/>
        </w:rPr>
        <w:t>5</w:t>
      </w:r>
      <w:r w:rsidRPr="00E93DB1">
        <w:rPr>
          <w:rFonts w:ascii="Times New Roman" w:eastAsia="Times New Roman" w:hAnsi="Times New Roman"/>
          <w:bCs/>
          <w:i/>
          <w:kern w:val="24"/>
          <w:sz w:val="28"/>
          <w:szCs w:val="28"/>
          <w:lang w:val="en-US"/>
        </w:rPr>
        <w:t xml:space="preserve"> years in Ukraine was conducted using the ATC/DDD methodology</w:t>
      </w:r>
      <w:r w:rsidRPr="00E93DB1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E93DB1">
        <w:rPr>
          <w:rFonts w:ascii="Times New Roman" w:hAnsi="Times New Roman"/>
          <w:i/>
          <w:sz w:val="28"/>
          <w:szCs w:val="28"/>
          <w:lang w:val="en-US"/>
        </w:rPr>
        <w:t>which is of particular interest to society in terms of health, social and economic consequences of irrational use and allows for long-term research at different levels of consumption of the drugs</w:t>
      </w:r>
      <w:r w:rsidRPr="00E93DB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F31B4" w:rsidRDefault="002F31B4" w:rsidP="002F31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1B4" w:rsidRDefault="002F31B4" w:rsidP="002F31B4">
      <w:pPr>
        <w:pStyle w:val="a5"/>
      </w:pPr>
      <w:r w:rsidRPr="00485199">
        <w:rPr>
          <w:b/>
        </w:rPr>
        <w:t xml:space="preserve">Вступ. </w:t>
      </w:r>
      <w:r w:rsidRPr="002F31B4">
        <w:t>Антимікробна терапія різних інфекційних захворювань значно погіршується в даний час розвитком резистентності збудників захворювань. Ситуація, що склалася</w:t>
      </w:r>
      <w:r>
        <w:t>,</w:t>
      </w:r>
      <w:r w:rsidRPr="002F31B4">
        <w:t xml:space="preserve"> може розглядатися як загроза національній безпеці і завдати великої соціально-економічної шкоди.</w:t>
      </w:r>
    </w:p>
    <w:p w:rsidR="002F31B4" w:rsidRPr="00485199" w:rsidRDefault="002F31B4" w:rsidP="002F31B4">
      <w:pPr>
        <w:pStyle w:val="a5"/>
      </w:pPr>
      <w:r w:rsidRPr="00485199">
        <w:t xml:space="preserve">Одним </w:t>
      </w:r>
      <w:r>
        <w:t>і</w:t>
      </w:r>
      <w:r w:rsidRPr="00485199">
        <w:t xml:space="preserve">з шляхів виходу </w:t>
      </w:r>
      <w:r>
        <w:t>і</w:t>
      </w:r>
      <w:r w:rsidRPr="00485199">
        <w:t>з ситуації</w:t>
      </w:r>
      <w:r>
        <w:t xml:space="preserve"> </w:t>
      </w:r>
      <w:r w:rsidRPr="00485199">
        <w:t>є жорсткий контроль за раціональним призначення</w:t>
      </w:r>
      <w:r>
        <w:t>м</w:t>
      </w:r>
      <w:r w:rsidRPr="00485199">
        <w:t xml:space="preserve"> антиба</w:t>
      </w:r>
      <w:r>
        <w:t>ктеріальних препаратів усіх гру</w:t>
      </w:r>
      <w:r>
        <w:rPr>
          <w:lang w:val="ru-RU"/>
        </w:rPr>
        <w:t>п</w:t>
      </w:r>
      <w:r w:rsidRPr="00485199">
        <w:t>.</w:t>
      </w:r>
      <w:r>
        <w:t xml:space="preserve"> Це треба робити систематично і у всіх країнах</w:t>
      </w:r>
      <w:r w:rsidRPr="002F31B4">
        <w:t xml:space="preserve"> </w:t>
      </w:r>
      <w:r>
        <w:t>[</w:t>
      </w:r>
      <w:r w:rsidRPr="002F31B4">
        <w:t>1, 2</w:t>
      </w:r>
      <w:r>
        <w:t>].</w:t>
      </w:r>
    </w:p>
    <w:p w:rsidR="002F31B4" w:rsidRPr="008276BB" w:rsidRDefault="002F31B4" w:rsidP="002F31B4">
      <w:pPr>
        <w:pStyle w:val="a5"/>
        <w:rPr>
          <w:lang w:val="ru-RU"/>
        </w:rPr>
      </w:pPr>
      <w:r>
        <w:t>Широке використання</w:t>
      </w:r>
      <w:r w:rsidRPr="00485199">
        <w:t xml:space="preserve"> антимікробн</w:t>
      </w:r>
      <w:r>
        <w:t>ої</w:t>
      </w:r>
      <w:r w:rsidRPr="00485199">
        <w:t xml:space="preserve"> терапі</w:t>
      </w:r>
      <w:r>
        <w:t>ї, часто</w:t>
      </w:r>
      <w:r w:rsidRPr="00485199">
        <w:t xml:space="preserve"> нераціональн</w:t>
      </w:r>
      <w:r>
        <w:t>ої,</w:t>
      </w:r>
      <w:r w:rsidRPr="00485199">
        <w:t xml:space="preserve"> сприяє підвищенню частоти розвитку побічних реакцій, росту бактеріальної резистентності, збільшенню частоти та тривалості </w:t>
      </w:r>
      <w:proofErr w:type="spellStart"/>
      <w:r w:rsidRPr="00485199">
        <w:t>госпіталізацій</w:t>
      </w:r>
      <w:proofErr w:type="spellEnd"/>
      <w:r w:rsidRPr="00485199">
        <w:t xml:space="preserve">. Все це </w:t>
      </w:r>
      <w:proofErr w:type="spellStart"/>
      <w:r>
        <w:rPr>
          <w:lang w:val="ru-RU"/>
        </w:rPr>
        <w:t>сприяє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зростанню</w:t>
      </w:r>
      <w:proofErr w:type="spellEnd"/>
      <w:r>
        <w:rPr>
          <w:lang w:val="ru-RU"/>
        </w:rPr>
        <w:t xml:space="preserve"> </w:t>
      </w:r>
      <w:r w:rsidRPr="00485199">
        <w:t>витрат на лікування та вимагає необхідності</w:t>
      </w:r>
      <w:r>
        <w:t xml:space="preserve"> стратегічно </w:t>
      </w:r>
      <w:r>
        <w:lastRenderedPageBreak/>
        <w:t xml:space="preserve">контролювати призначення АБП, тобто об’єми споживання АБП в різних країнах у </w:t>
      </w:r>
      <w:r>
        <w:rPr>
          <w:lang w:val="en-US"/>
        </w:rPr>
        <w:t>DDDs</w:t>
      </w:r>
      <w:r w:rsidRPr="008276BB">
        <w:rPr>
          <w:lang w:val="ru-RU"/>
        </w:rPr>
        <w:t xml:space="preserve">/1000 </w:t>
      </w:r>
      <w:r>
        <w:rPr>
          <w:lang w:val="ru-RU"/>
        </w:rPr>
        <w:t>жителей</w:t>
      </w:r>
      <w:r w:rsidRPr="008276BB">
        <w:rPr>
          <w:lang w:val="ru-RU"/>
        </w:rPr>
        <w:t>/</w:t>
      </w:r>
      <w:r>
        <w:rPr>
          <w:lang w:val="ru-RU"/>
        </w:rPr>
        <w:t xml:space="preserve">день </w:t>
      </w:r>
      <w:r>
        <w:t>[</w:t>
      </w:r>
      <w:r>
        <w:rPr>
          <w:lang w:val="ru-RU"/>
        </w:rPr>
        <w:t xml:space="preserve">3, </w:t>
      </w:r>
      <w:r w:rsidR="00561C8A">
        <w:rPr>
          <w:lang w:val="ru-RU"/>
        </w:rPr>
        <w:t>4</w:t>
      </w:r>
      <w:r>
        <w:rPr>
          <w:lang w:val="ru-RU"/>
        </w:rPr>
        <w:t xml:space="preserve">, </w:t>
      </w:r>
      <w:r w:rsidR="00561C8A">
        <w:rPr>
          <w:lang w:val="ru-RU"/>
        </w:rPr>
        <w:t>5</w:t>
      </w:r>
      <w:r>
        <w:rPr>
          <w:lang w:val="ru-RU"/>
        </w:rPr>
        <w:t xml:space="preserve">, </w:t>
      </w:r>
      <w:r w:rsidR="00561C8A">
        <w:rPr>
          <w:lang w:val="ru-RU"/>
        </w:rPr>
        <w:t>6</w:t>
      </w:r>
      <w:r>
        <w:t>]</w:t>
      </w:r>
      <w:r>
        <w:rPr>
          <w:lang w:val="ru-RU"/>
        </w:rPr>
        <w:t>.</w:t>
      </w:r>
    </w:p>
    <w:p w:rsidR="002F31B4" w:rsidRPr="00485199" w:rsidRDefault="002F31B4" w:rsidP="002F31B4">
      <w:pPr>
        <w:pStyle w:val="a4"/>
        <w:spacing w:line="360" w:lineRule="auto"/>
        <w:ind w:firstLine="709"/>
        <w:jc w:val="both"/>
        <w:rPr>
          <w:lang w:val="uk-UA"/>
        </w:rPr>
      </w:pPr>
      <w:r w:rsidRPr="004851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Однією з груп препаратів, які з кожним роком все ширше використовуються в клініці, є </w:t>
      </w:r>
      <w:proofErr w:type="spellStart"/>
      <w:r w:rsidRPr="00485199">
        <w:rPr>
          <w:rFonts w:ascii="Times New Roman" w:eastAsia="Times New Roman" w:hAnsi="Times New Roman"/>
          <w:sz w:val="28"/>
          <w:szCs w:val="28"/>
          <w:lang w:val="uk-UA" w:eastAsia="ru-RU"/>
        </w:rPr>
        <w:t>макролідні</w:t>
      </w:r>
      <w:proofErr w:type="spellEnd"/>
      <w:r w:rsidRPr="004851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антибіотики. </w:t>
      </w:r>
      <w:proofErr w:type="spellStart"/>
      <w:r w:rsidRPr="00485199">
        <w:rPr>
          <w:rFonts w:ascii="Times New Roman" w:eastAsia="Times New Roman" w:hAnsi="Times New Roman"/>
          <w:sz w:val="28"/>
          <w:szCs w:val="28"/>
          <w:lang w:val="uk-UA" w:eastAsia="ru-RU"/>
        </w:rPr>
        <w:t>Макроліди</w:t>
      </w:r>
      <w:proofErr w:type="spellEnd"/>
      <w:r w:rsidRPr="004851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даний момент займають одне з провідних місць при лікуванні інфекційних захворювань завдяки ряду переваг</w:t>
      </w:r>
      <w:r>
        <w:rPr>
          <w:lang w:val="uk-UA"/>
        </w:rPr>
        <w:t>:</w:t>
      </w:r>
      <w:r w:rsidRPr="004851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AE3">
        <w:rPr>
          <w:rFonts w:ascii="Times New Roman" w:hAnsi="Times New Roman"/>
          <w:sz w:val="28"/>
          <w:szCs w:val="28"/>
          <w:lang w:val="uk-UA"/>
        </w:rPr>
        <w:t xml:space="preserve">висока антибактеріальна активність </w:t>
      </w:r>
      <w:proofErr w:type="spellStart"/>
      <w:r w:rsidRPr="007F7AE3">
        <w:rPr>
          <w:rFonts w:ascii="Times New Roman" w:hAnsi="Times New Roman"/>
          <w:sz w:val="28"/>
          <w:szCs w:val="28"/>
          <w:lang w:val="uk-UA"/>
        </w:rPr>
        <w:t>макролідів</w:t>
      </w:r>
      <w:proofErr w:type="spellEnd"/>
      <w:r w:rsidRPr="007F7AE3">
        <w:rPr>
          <w:rFonts w:ascii="Times New Roman" w:hAnsi="Times New Roman"/>
          <w:sz w:val="28"/>
          <w:szCs w:val="28"/>
          <w:lang w:val="uk-UA"/>
        </w:rPr>
        <w:t xml:space="preserve"> по відношенню до внутрішньоклітинн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7F7AE3">
        <w:rPr>
          <w:rFonts w:ascii="Times New Roman" w:hAnsi="Times New Roman"/>
          <w:sz w:val="28"/>
          <w:szCs w:val="28"/>
          <w:lang w:val="uk-UA"/>
        </w:rPr>
        <w:t xml:space="preserve"> збудник</w:t>
      </w:r>
      <w:r>
        <w:rPr>
          <w:rFonts w:ascii="Times New Roman" w:hAnsi="Times New Roman"/>
          <w:sz w:val="28"/>
          <w:szCs w:val="28"/>
          <w:lang w:val="uk-UA"/>
        </w:rPr>
        <w:t>ів, таких</w:t>
      </w:r>
      <w:r w:rsidRPr="007F7AE3">
        <w:rPr>
          <w:rFonts w:ascii="Times New Roman" w:hAnsi="Times New Roman"/>
          <w:sz w:val="28"/>
          <w:szCs w:val="28"/>
          <w:lang w:val="uk-UA"/>
        </w:rPr>
        <w:t xml:space="preserve"> як </w:t>
      </w:r>
      <w:proofErr w:type="spellStart"/>
      <w:r w:rsidRPr="007F7AE3">
        <w:rPr>
          <w:rFonts w:ascii="Times New Roman" w:hAnsi="Times New Roman"/>
          <w:sz w:val="28"/>
          <w:szCs w:val="28"/>
          <w:lang w:val="uk-UA"/>
        </w:rPr>
        <w:t>хламідії</w:t>
      </w:r>
      <w:proofErr w:type="spellEnd"/>
      <w:r w:rsidRPr="007F7AE3">
        <w:rPr>
          <w:rFonts w:ascii="Times New Roman" w:hAnsi="Times New Roman"/>
          <w:sz w:val="28"/>
          <w:szCs w:val="28"/>
          <w:lang w:val="uk-UA"/>
        </w:rPr>
        <w:t xml:space="preserve">, мікоплазми та </w:t>
      </w:r>
      <w:proofErr w:type="spellStart"/>
      <w:r w:rsidRPr="007F7AE3">
        <w:rPr>
          <w:rFonts w:ascii="Times New Roman" w:hAnsi="Times New Roman"/>
          <w:sz w:val="28"/>
          <w:szCs w:val="28"/>
          <w:lang w:val="uk-UA"/>
        </w:rPr>
        <w:t>лег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F7AE3">
        <w:rPr>
          <w:rFonts w:ascii="Times New Roman" w:hAnsi="Times New Roman"/>
          <w:sz w:val="28"/>
          <w:szCs w:val="28"/>
          <w:lang w:val="uk-UA"/>
        </w:rPr>
        <w:t>онелли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7F7AE3">
        <w:rPr>
          <w:rFonts w:ascii="Times New Roman" w:hAnsi="Times New Roman"/>
          <w:sz w:val="28"/>
          <w:szCs w:val="28"/>
          <w:lang w:val="uk-UA"/>
        </w:rPr>
        <w:t xml:space="preserve"> ефективності при інфекційних </w:t>
      </w:r>
      <w:r>
        <w:rPr>
          <w:rFonts w:ascii="Times New Roman" w:hAnsi="Times New Roman"/>
          <w:sz w:val="28"/>
          <w:szCs w:val="28"/>
          <w:lang w:val="uk-UA"/>
        </w:rPr>
        <w:t xml:space="preserve">респіраторних </w:t>
      </w:r>
      <w:r w:rsidRPr="007F7AE3">
        <w:rPr>
          <w:rFonts w:ascii="Times New Roman" w:hAnsi="Times New Roman"/>
          <w:sz w:val="28"/>
          <w:szCs w:val="28"/>
          <w:lang w:val="uk-UA"/>
        </w:rPr>
        <w:t>захворюваннях</w:t>
      </w:r>
      <w:r>
        <w:rPr>
          <w:rFonts w:ascii="Times New Roman" w:hAnsi="Times New Roman"/>
          <w:sz w:val="28"/>
          <w:szCs w:val="28"/>
          <w:lang w:val="uk-UA"/>
        </w:rPr>
        <w:t>; виявляють</w:t>
      </w:r>
      <w:r w:rsidRPr="007F7A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7AE3">
        <w:rPr>
          <w:rFonts w:ascii="Times New Roman" w:hAnsi="Times New Roman"/>
          <w:sz w:val="28"/>
          <w:szCs w:val="28"/>
          <w:lang w:val="uk-UA"/>
        </w:rPr>
        <w:t>мукорегуляторн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7F7AE3">
        <w:rPr>
          <w:rFonts w:ascii="Times New Roman" w:hAnsi="Times New Roman"/>
          <w:sz w:val="28"/>
          <w:szCs w:val="28"/>
          <w:lang w:val="uk-UA"/>
        </w:rPr>
        <w:t xml:space="preserve"> дію, помірни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7F7A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7AE3">
        <w:rPr>
          <w:rFonts w:ascii="Times New Roman" w:hAnsi="Times New Roman"/>
          <w:sz w:val="28"/>
          <w:szCs w:val="28"/>
          <w:lang w:val="uk-UA"/>
        </w:rPr>
        <w:t>стероідопод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F7AE3">
        <w:rPr>
          <w:rFonts w:ascii="Times New Roman" w:hAnsi="Times New Roman"/>
          <w:sz w:val="28"/>
          <w:szCs w:val="28"/>
          <w:lang w:val="uk-UA"/>
        </w:rPr>
        <w:t>бни</w:t>
      </w:r>
      <w:r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Pr="007F7AE3">
        <w:rPr>
          <w:rFonts w:ascii="Times New Roman" w:hAnsi="Times New Roman"/>
          <w:sz w:val="28"/>
          <w:szCs w:val="28"/>
          <w:lang w:val="uk-UA"/>
        </w:rPr>
        <w:t xml:space="preserve"> ефект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7F7A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протизапальний і </w:t>
      </w:r>
      <w:proofErr w:type="spellStart"/>
      <w:r w:rsidRPr="007F7AE3">
        <w:rPr>
          <w:rFonts w:ascii="Times New Roman" w:hAnsi="Times New Roman"/>
          <w:sz w:val="28"/>
          <w:szCs w:val="28"/>
          <w:lang w:val="uk-UA"/>
        </w:rPr>
        <w:t>імунорегуляторн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7F7AE3">
        <w:rPr>
          <w:rFonts w:ascii="Times New Roman" w:hAnsi="Times New Roman"/>
          <w:sz w:val="28"/>
          <w:szCs w:val="28"/>
          <w:lang w:val="uk-UA"/>
        </w:rPr>
        <w:t xml:space="preserve"> вплив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4F86">
        <w:rPr>
          <w:rFonts w:ascii="Times New Roman" w:hAnsi="Times New Roman"/>
          <w:sz w:val="28"/>
          <w:szCs w:val="28"/>
          <w:lang w:val="uk-UA"/>
        </w:rPr>
        <w:t>[</w:t>
      </w:r>
      <w:r w:rsidR="00561C8A">
        <w:rPr>
          <w:rFonts w:ascii="Times New Roman" w:hAnsi="Times New Roman"/>
          <w:sz w:val="28"/>
          <w:szCs w:val="28"/>
          <w:lang w:val="uk-UA"/>
        </w:rPr>
        <w:t>7</w:t>
      </w:r>
      <w:r w:rsidRPr="00D24F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61C8A">
        <w:rPr>
          <w:rFonts w:ascii="Times New Roman" w:hAnsi="Times New Roman"/>
          <w:sz w:val="28"/>
          <w:szCs w:val="28"/>
          <w:lang w:val="uk-UA"/>
        </w:rPr>
        <w:t>8</w:t>
      </w:r>
      <w:r w:rsidRPr="00D24F86">
        <w:rPr>
          <w:rFonts w:ascii="Times New Roman" w:hAnsi="Times New Roman"/>
          <w:sz w:val="28"/>
          <w:szCs w:val="28"/>
          <w:lang w:val="uk-UA"/>
        </w:rPr>
        <w:t>]</w:t>
      </w:r>
      <w:r w:rsidRPr="007F7AE3">
        <w:rPr>
          <w:rFonts w:ascii="Times New Roman" w:hAnsi="Times New Roman"/>
          <w:sz w:val="28"/>
          <w:szCs w:val="28"/>
          <w:lang w:val="uk-UA"/>
        </w:rPr>
        <w:t>.</w:t>
      </w:r>
    </w:p>
    <w:p w:rsidR="002F31B4" w:rsidRDefault="00E93DB1" w:rsidP="002F31B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3DB1">
        <w:rPr>
          <w:rFonts w:ascii="Times New Roman" w:hAnsi="Times New Roman"/>
          <w:b/>
          <w:sz w:val="28"/>
          <w:szCs w:val="28"/>
          <w:lang w:val="uk-UA"/>
        </w:rPr>
        <w:t>Матеріали та методи.</w:t>
      </w:r>
      <w:r w:rsidRPr="00E93DB1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2F31B4" w:rsidRPr="00485199">
        <w:rPr>
          <w:rFonts w:ascii="Times New Roman" w:hAnsi="Times New Roman"/>
          <w:sz w:val="28"/>
          <w:szCs w:val="28"/>
          <w:lang w:val="uk-UA"/>
        </w:rPr>
        <w:t>рове</w:t>
      </w:r>
      <w:r>
        <w:rPr>
          <w:rFonts w:ascii="Times New Roman" w:hAnsi="Times New Roman"/>
          <w:sz w:val="28"/>
          <w:szCs w:val="28"/>
          <w:lang w:val="uk-UA"/>
        </w:rPr>
        <w:t>дено</w:t>
      </w:r>
      <w:r w:rsidR="002F31B4" w:rsidRPr="00485199">
        <w:rPr>
          <w:rFonts w:ascii="Times New Roman" w:hAnsi="Times New Roman"/>
          <w:sz w:val="28"/>
          <w:szCs w:val="28"/>
          <w:lang w:val="uk-UA"/>
        </w:rPr>
        <w:t xml:space="preserve"> аналіз амбулаторного споживання антибіотиків групи </w:t>
      </w:r>
      <w:proofErr w:type="spellStart"/>
      <w:r w:rsidR="002F31B4" w:rsidRPr="00485199">
        <w:rPr>
          <w:rFonts w:ascii="Times New Roman" w:hAnsi="Times New Roman"/>
          <w:sz w:val="28"/>
          <w:szCs w:val="28"/>
          <w:lang w:val="uk-UA"/>
        </w:rPr>
        <w:t>макролідів</w:t>
      </w:r>
      <w:proofErr w:type="spellEnd"/>
      <w:r w:rsidR="002F31B4" w:rsidRPr="00485199">
        <w:rPr>
          <w:rFonts w:ascii="Times New Roman" w:hAnsi="Times New Roman"/>
          <w:sz w:val="28"/>
          <w:szCs w:val="28"/>
          <w:lang w:val="uk-UA"/>
        </w:rPr>
        <w:t xml:space="preserve"> протягом 2010-201</w:t>
      </w:r>
      <w:r w:rsidR="002F31B4">
        <w:rPr>
          <w:rFonts w:ascii="Times New Roman" w:hAnsi="Times New Roman"/>
          <w:sz w:val="28"/>
          <w:szCs w:val="28"/>
          <w:lang w:val="uk-UA"/>
        </w:rPr>
        <w:t>5</w:t>
      </w:r>
      <w:r w:rsidR="002F31B4" w:rsidRPr="00485199">
        <w:rPr>
          <w:rFonts w:ascii="Times New Roman" w:hAnsi="Times New Roman"/>
          <w:sz w:val="28"/>
          <w:szCs w:val="28"/>
          <w:lang w:val="uk-UA"/>
        </w:rPr>
        <w:t xml:space="preserve"> років в Україні за допомогою ATC/DDD-методології.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3B4D" w:rsidRDefault="002F31B4" w:rsidP="00E63B4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5199">
        <w:rPr>
          <w:rFonts w:ascii="Times New Roman" w:hAnsi="Times New Roman"/>
          <w:b/>
          <w:sz w:val="28"/>
          <w:szCs w:val="28"/>
          <w:lang w:val="uk-UA"/>
        </w:rPr>
        <w:t>Результати дослідження.</w:t>
      </w:r>
      <w:r w:rsidRPr="00485199">
        <w:rPr>
          <w:b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ф</w:t>
      </w:r>
      <w:r w:rsidRPr="00DC3FE5">
        <w:rPr>
          <w:rFonts w:ascii="Times New Roman" w:hAnsi="Times New Roman"/>
          <w:sz w:val="28"/>
          <w:szCs w:val="28"/>
          <w:lang w:val="uk-UA"/>
        </w:rPr>
        <w:t>армацевтичн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DC3FE5">
        <w:rPr>
          <w:rFonts w:ascii="Times New Roman" w:hAnsi="Times New Roman"/>
          <w:sz w:val="28"/>
          <w:szCs w:val="28"/>
          <w:lang w:val="uk-UA"/>
        </w:rPr>
        <w:t xml:space="preserve"> рин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DC3FE5">
        <w:rPr>
          <w:rFonts w:ascii="Times New Roman" w:hAnsi="Times New Roman"/>
          <w:sz w:val="28"/>
          <w:szCs w:val="28"/>
          <w:lang w:val="uk-UA"/>
        </w:rPr>
        <w:t xml:space="preserve"> України на даний момент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DC3FE5">
        <w:rPr>
          <w:rFonts w:ascii="Times New Roman" w:hAnsi="Times New Roman"/>
          <w:sz w:val="28"/>
          <w:szCs w:val="28"/>
          <w:lang w:val="uk-UA"/>
        </w:rPr>
        <w:t xml:space="preserve"> 7 </w:t>
      </w:r>
      <w:r>
        <w:rPr>
          <w:rFonts w:ascii="Times New Roman" w:hAnsi="Times New Roman"/>
          <w:sz w:val="28"/>
          <w:szCs w:val="28"/>
          <w:lang w:val="uk-UA"/>
        </w:rPr>
        <w:t xml:space="preserve">МНН </w:t>
      </w:r>
      <w:proofErr w:type="spellStart"/>
      <w:r w:rsidRPr="00DC3FE5">
        <w:rPr>
          <w:rFonts w:ascii="Times New Roman" w:hAnsi="Times New Roman"/>
          <w:sz w:val="28"/>
          <w:szCs w:val="28"/>
          <w:lang w:val="uk-UA"/>
        </w:rPr>
        <w:t>макрол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C3FE5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DC3FE5">
        <w:rPr>
          <w:rFonts w:ascii="Times New Roman" w:hAnsi="Times New Roman"/>
          <w:sz w:val="28"/>
          <w:szCs w:val="28"/>
          <w:lang w:val="uk-UA"/>
        </w:rPr>
        <w:t xml:space="preserve">, на основі яких </w:t>
      </w:r>
      <w:r>
        <w:rPr>
          <w:rFonts w:ascii="Times New Roman" w:hAnsi="Times New Roman"/>
          <w:sz w:val="28"/>
          <w:szCs w:val="28"/>
          <w:lang w:val="uk-UA"/>
        </w:rPr>
        <w:t>представлено</w:t>
      </w:r>
      <w:r w:rsidRPr="00DC3FE5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E63B4D">
        <w:rPr>
          <w:rFonts w:ascii="Times New Roman" w:hAnsi="Times New Roman"/>
          <w:sz w:val="28"/>
          <w:szCs w:val="28"/>
          <w:lang w:val="uk-UA"/>
        </w:rPr>
        <w:t>32</w:t>
      </w:r>
      <w:r w:rsidRPr="00DC3FE5">
        <w:rPr>
          <w:rFonts w:ascii="Times New Roman" w:hAnsi="Times New Roman"/>
          <w:sz w:val="28"/>
          <w:szCs w:val="28"/>
          <w:lang w:val="uk-UA"/>
        </w:rPr>
        <w:t xml:space="preserve"> препаратів</w:t>
      </w:r>
      <w:r>
        <w:rPr>
          <w:rFonts w:ascii="Times New Roman" w:hAnsi="Times New Roman"/>
          <w:sz w:val="28"/>
          <w:szCs w:val="28"/>
          <w:lang w:val="uk-UA"/>
        </w:rPr>
        <w:t xml:space="preserve"> за ТН </w:t>
      </w:r>
      <w:r w:rsidRPr="00DC3FE5">
        <w:rPr>
          <w:rFonts w:ascii="Times New Roman" w:hAnsi="Times New Roman"/>
          <w:sz w:val="28"/>
          <w:szCs w:val="28"/>
          <w:lang w:val="uk-UA"/>
        </w:rPr>
        <w:t xml:space="preserve">з урахуванням різних лікарських форм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DC3FE5">
        <w:rPr>
          <w:rFonts w:ascii="Times New Roman" w:hAnsi="Times New Roman"/>
          <w:sz w:val="28"/>
          <w:szCs w:val="28"/>
          <w:lang w:val="uk-UA"/>
        </w:rPr>
        <w:t xml:space="preserve"> виробників. </w:t>
      </w:r>
      <w:r w:rsidR="00E63B4D" w:rsidRPr="00337646">
        <w:rPr>
          <w:rFonts w:ascii="Times New Roman" w:hAnsi="Times New Roman"/>
          <w:sz w:val="28"/>
          <w:szCs w:val="28"/>
          <w:lang w:val="uk-UA"/>
        </w:rPr>
        <w:t>При цьому кількість імпортних пропозицій перевищує пропозиції вітчизняного виробника за весь період дослідження,</w:t>
      </w:r>
      <w:r w:rsidR="00E63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B4D" w:rsidRPr="00337646">
        <w:rPr>
          <w:rFonts w:ascii="Times New Roman" w:hAnsi="Times New Roman"/>
          <w:sz w:val="28"/>
          <w:szCs w:val="28"/>
          <w:lang w:val="uk-UA"/>
        </w:rPr>
        <w:t>у 2015 році спостерігалось</w:t>
      </w:r>
      <w:r w:rsidR="00E63B4D" w:rsidRPr="00337646">
        <w:rPr>
          <w:lang w:val="uk-UA"/>
        </w:rPr>
        <w:t xml:space="preserve"> </w:t>
      </w:r>
      <w:r w:rsidR="00E63B4D" w:rsidRPr="00337646">
        <w:rPr>
          <w:rFonts w:ascii="Times New Roman" w:hAnsi="Times New Roman"/>
          <w:sz w:val="28"/>
          <w:szCs w:val="28"/>
          <w:lang w:val="uk-UA"/>
        </w:rPr>
        <w:t>38% вітчизняного та 62%</w:t>
      </w:r>
      <w:r w:rsidR="00E63B4D">
        <w:rPr>
          <w:rFonts w:ascii="Times New Roman" w:hAnsi="Times New Roman"/>
          <w:sz w:val="28"/>
          <w:szCs w:val="28"/>
          <w:lang w:val="uk-UA"/>
        </w:rPr>
        <w:t xml:space="preserve"> препаратів </w:t>
      </w:r>
      <w:r w:rsidR="00E63B4D" w:rsidRPr="00337646">
        <w:rPr>
          <w:rFonts w:ascii="Times New Roman" w:hAnsi="Times New Roman"/>
          <w:sz w:val="28"/>
          <w:szCs w:val="28"/>
          <w:lang w:val="uk-UA"/>
        </w:rPr>
        <w:t>імпортного виробництва.</w:t>
      </w:r>
    </w:p>
    <w:p w:rsidR="002F31B4" w:rsidRDefault="002F31B4" w:rsidP="00E63B4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657C7">
        <w:rPr>
          <w:rFonts w:ascii="Times New Roman" w:eastAsia="Times New Roman" w:hAnsi="Times New Roman"/>
          <w:bCs/>
          <w:kern w:val="24"/>
          <w:sz w:val="28"/>
          <w:szCs w:val="28"/>
          <w:lang w:val="uk-UA"/>
        </w:rPr>
        <w:t xml:space="preserve">Надалі за допомогою </w:t>
      </w:r>
      <w:r w:rsidRPr="00D73AB1">
        <w:rPr>
          <w:rFonts w:ascii="Times New Roman" w:hAnsi="Times New Roman"/>
          <w:bCs/>
          <w:kern w:val="24"/>
          <w:sz w:val="28"/>
          <w:szCs w:val="28"/>
        </w:rPr>
        <w:t>ATC</w:t>
      </w:r>
      <w:r w:rsidRPr="00D73AB1">
        <w:rPr>
          <w:rFonts w:ascii="Times New Roman" w:hAnsi="Times New Roman"/>
          <w:bCs/>
          <w:kern w:val="24"/>
          <w:sz w:val="28"/>
          <w:szCs w:val="28"/>
          <w:lang w:val="uk-UA"/>
        </w:rPr>
        <w:t>/</w:t>
      </w:r>
      <w:r w:rsidRPr="00D73AB1">
        <w:rPr>
          <w:rFonts w:ascii="Times New Roman" w:hAnsi="Times New Roman"/>
          <w:bCs/>
          <w:kern w:val="24"/>
          <w:sz w:val="28"/>
          <w:szCs w:val="28"/>
        </w:rPr>
        <w:t>DDD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  <w:lang w:val="uk-UA"/>
        </w:rPr>
        <w:t>-</w:t>
      </w:r>
      <w:r w:rsidRPr="00D73AB1">
        <w:rPr>
          <w:rFonts w:ascii="Times New Roman" w:hAnsi="Times New Roman"/>
          <w:bCs/>
          <w:kern w:val="24"/>
          <w:sz w:val="28"/>
          <w:szCs w:val="28"/>
          <w:lang w:val="uk-UA"/>
        </w:rPr>
        <w:t>методології</w:t>
      </w:r>
      <w:proofErr w:type="spellEnd"/>
      <w:r w:rsidRPr="00D73AB1">
        <w:rPr>
          <w:rFonts w:ascii="Times New Roman" w:hAnsi="Times New Roman"/>
          <w:bCs/>
          <w:kern w:val="24"/>
          <w:sz w:val="28"/>
          <w:szCs w:val="28"/>
          <w:lang w:val="uk-UA"/>
        </w:rPr>
        <w:t xml:space="preserve"> проведено аналіз амбулаторного споживання  досліджуваних препаратів протягом </w:t>
      </w:r>
      <w:r w:rsidR="00034F60" w:rsidRPr="00034F60">
        <w:rPr>
          <w:rFonts w:ascii="Times New Roman" w:hAnsi="Times New Roman"/>
          <w:bCs/>
          <w:kern w:val="24"/>
          <w:sz w:val="28"/>
          <w:szCs w:val="28"/>
          <w:lang w:val="uk-UA"/>
        </w:rPr>
        <w:t>5</w:t>
      </w:r>
      <w:r w:rsidRPr="00D73AB1">
        <w:rPr>
          <w:rFonts w:ascii="Times New Roman" w:hAnsi="Times New Roman"/>
          <w:bCs/>
          <w:kern w:val="24"/>
          <w:sz w:val="28"/>
          <w:szCs w:val="28"/>
          <w:lang w:val="uk-UA"/>
        </w:rPr>
        <w:t xml:space="preserve"> років з розрахунком показника  </w:t>
      </w:r>
      <w:r w:rsidRPr="00D73AB1">
        <w:rPr>
          <w:rFonts w:ascii="Times New Roman" w:hAnsi="Times New Roman"/>
          <w:bCs/>
          <w:iCs/>
          <w:kern w:val="24"/>
          <w:sz w:val="28"/>
          <w:szCs w:val="28"/>
          <w:lang w:val="en-US"/>
        </w:rPr>
        <w:t>DDD</w:t>
      </w:r>
      <w:r w:rsidRPr="00D73AB1">
        <w:rPr>
          <w:rFonts w:ascii="Times New Roman" w:hAnsi="Times New Roman"/>
          <w:bCs/>
          <w:iCs/>
          <w:kern w:val="24"/>
          <w:sz w:val="28"/>
          <w:szCs w:val="28"/>
          <w:vertAlign w:val="subscript"/>
          <w:lang w:val="en-US"/>
        </w:rPr>
        <w:t>s</w:t>
      </w:r>
      <w:r w:rsidRPr="00D73AB1"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>/1000 жителів/ день.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</w:t>
      </w:r>
      <w:proofErr w:type="spellStart"/>
      <w:r w:rsidRPr="00DC3FE5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DC3F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3FE5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DC3FE5">
        <w:rPr>
          <w:rFonts w:ascii="Times New Roman" w:hAnsi="Times New Roman"/>
          <w:sz w:val="28"/>
          <w:szCs w:val="28"/>
        </w:rPr>
        <w:t>і</w:t>
      </w:r>
      <w:proofErr w:type="spellEnd"/>
      <w:r w:rsidRPr="00DC3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C3FE5">
        <w:rPr>
          <w:rFonts w:ascii="Times New Roman" w:hAnsi="Times New Roman"/>
          <w:sz w:val="28"/>
          <w:szCs w:val="28"/>
        </w:rPr>
        <w:t xml:space="preserve"> табл</w:t>
      </w:r>
      <w:r>
        <w:rPr>
          <w:rFonts w:ascii="Times New Roman" w:hAnsi="Times New Roman"/>
          <w:sz w:val="28"/>
          <w:szCs w:val="28"/>
        </w:rPr>
        <w:t>.</w:t>
      </w:r>
      <w:r w:rsidRPr="00DC3FE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34F60" w:rsidRPr="00DC3FE5" w:rsidRDefault="00034F60" w:rsidP="00034F60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C3FE5">
        <w:rPr>
          <w:rFonts w:ascii="Times New Roman" w:hAnsi="Times New Roman"/>
          <w:sz w:val="28"/>
          <w:szCs w:val="28"/>
        </w:rPr>
        <w:t>Таблиця</w:t>
      </w:r>
      <w:proofErr w:type="spellEnd"/>
      <w:r w:rsidRPr="00DC3FE5">
        <w:rPr>
          <w:rFonts w:ascii="Times New Roman" w:hAnsi="Times New Roman"/>
          <w:sz w:val="28"/>
          <w:szCs w:val="28"/>
        </w:rPr>
        <w:t xml:space="preserve"> 1. </w:t>
      </w:r>
    </w:p>
    <w:p w:rsidR="00034F60" w:rsidRDefault="00034F60" w:rsidP="00034F60">
      <w:pPr>
        <w:jc w:val="center"/>
        <w:rPr>
          <w:rFonts w:ascii="Times New Roman" w:hAnsi="Times New Roman"/>
          <w:bCs/>
          <w:iCs/>
          <w:kern w:val="2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Показники с</w:t>
      </w:r>
      <w:proofErr w:type="spellStart"/>
      <w:r w:rsidRPr="00DC3FE5">
        <w:rPr>
          <w:rFonts w:ascii="Times New Roman" w:hAnsi="Times New Roman"/>
          <w:sz w:val="28"/>
          <w:szCs w:val="28"/>
        </w:rPr>
        <w:t>поживання</w:t>
      </w:r>
      <w:proofErr w:type="spellEnd"/>
      <w:r w:rsidRPr="00DC3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FE5">
        <w:rPr>
          <w:rFonts w:ascii="Times New Roman" w:hAnsi="Times New Roman"/>
          <w:sz w:val="28"/>
          <w:szCs w:val="28"/>
        </w:rPr>
        <w:t>макролідних</w:t>
      </w:r>
      <w:proofErr w:type="spellEnd"/>
      <w:r w:rsidRPr="00DC3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FE5">
        <w:rPr>
          <w:rFonts w:ascii="Times New Roman" w:hAnsi="Times New Roman"/>
          <w:sz w:val="28"/>
          <w:szCs w:val="28"/>
        </w:rPr>
        <w:t>антибіотиків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000"/>
        <w:gridCol w:w="1101"/>
        <w:gridCol w:w="1101"/>
        <w:gridCol w:w="1101"/>
        <w:gridCol w:w="1110"/>
        <w:gridCol w:w="2092"/>
      </w:tblGrid>
      <w:tr w:rsidR="00034F60" w:rsidRPr="00DF493F" w:rsidTr="00B94F04">
        <w:trPr>
          <w:trHeight w:val="55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t>DDDs</w:t>
            </w:r>
            <w:proofErr w:type="spellEnd"/>
            <w:r w:rsidRPr="00DF493F">
              <w:rPr>
                <w:rFonts w:ascii="Times New Roman" w:hAnsi="Times New Roman"/>
                <w:sz w:val="28"/>
                <w:szCs w:val="28"/>
              </w:rPr>
              <w:t xml:space="preserve">/1000 </w:t>
            </w: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t>жител</w:t>
            </w:r>
            <w:r w:rsidRPr="00DF493F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 w:rsidRPr="00DF493F">
              <w:rPr>
                <w:rFonts w:ascii="Times New Roman" w:hAnsi="Times New Roman"/>
                <w:sz w:val="28"/>
                <w:szCs w:val="28"/>
              </w:rPr>
              <w:t>/день</w:t>
            </w:r>
          </w:p>
        </w:tc>
      </w:tr>
      <w:tr w:rsidR="00034F60" w:rsidRPr="00DF493F" w:rsidTr="005C4305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F493F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F493F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F493F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F493F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4F60" w:rsidRPr="00034F60" w:rsidRDefault="00034F60" w:rsidP="00EA169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4F60" w:rsidRPr="00034F60" w:rsidRDefault="00034F60" w:rsidP="00EA169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2015</w:t>
            </w:r>
          </w:p>
        </w:tc>
      </w:tr>
      <w:tr w:rsidR="00034F60" w:rsidRPr="00DF493F" w:rsidTr="005C4305">
        <w:trPr>
          <w:trHeight w:val="2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E93DB1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proofErr w:type="spellStart"/>
            <w:r w:rsidR="00034F60" w:rsidRPr="00DF493F">
              <w:rPr>
                <w:rFonts w:ascii="Times New Roman" w:hAnsi="Times New Roman"/>
                <w:sz w:val="28"/>
                <w:szCs w:val="28"/>
              </w:rPr>
              <w:t>ритром</w:t>
            </w:r>
            <w:proofErr w:type="spellEnd"/>
            <w:r w:rsidR="00034F60" w:rsidRPr="00DF493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="00034F60" w:rsidRPr="00DF493F">
              <w:rPr>
                <w:rFonts w:ascii="Times New Roman" w:hAnsi="Times New Roman"/>
                <w:sz w:val="28"/>
                <w:szCs w:val="28"/>
              </w:rPr>
              <w:t>цин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5C4305" w:rsidP="00034F60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034F60" w:rsidP="005C430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F60">
              <w:rPr>
                <w:rFonts w:ascii="Times New Roman" w:hAnsi="Times New Roman"/>
                <w:sz w:val="28"/>
                <w:szCs w:val="28"/>
              </w:rPr>
              <w:t>0,03</w:t>
            </w:r>
            <w:r w:rsidR="005C430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034F60" w:rsidRPr="00DF493F" w:rsidTr="005C4305">
        <w:trPr>
          <w:trHeight w:val="2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DF493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F493F"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DF493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t>цин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0,118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0,109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0,103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0,091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5C4305" w:rsidP="005C430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034F60" w:rsidP="005C430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305">
              <w:rPr>
                <w:rFonts w:ascii="Times New Roman" w:hAnsi="Times New Roman"/>
                <w:sz w:val="28"/>
                <w:szCs w:val="28"/>
              </w:rPr>
              <w:t>0,05</w:t>
            </w:r>
            <w:r w:rsidR="005C430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034F60" w:rsidRPr="00DF493F" w:rsidTr="005C4305">
        <w:trPr>
          <w:trHeight w:val="2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М</w:t>
            </w:r>
            <w:r w:rsidRPr="00DF493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F493F">
              <w:rPr>
                <w:rFonts w:ascii="Times New Roman" w:hAnsi="Times New Roman"/>
                <w:sz w:val="28"/>
                <w:szCs w:val="28"/>
              </w:rPr>
              <w:t>декам</w:t>
            </w:r>
            <w:r w:rsidRPr="00DF493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t>цин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0,086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5C4305" w:rsidP="00EA169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5C4305" w:rsidP="00EA169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34F60" w:rsidRPr="00DF493F" w:rsidTr="005C4305">
        <w:trPr>
          <w:trHeight w:val="2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t>Рокс</w:t>
            </w:r>
            <w:proofErr w:type="spellEnd"/>
            <w:r w:rsidRPr="00DF493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t>тром</w:t>
            </w:r>
            <w:proofErr w:type="spellEnd"/>
            <w:r w:rsidRPr="00DF493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t>цин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034F60" w:rsidP="005C430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305">
              <w:rPr>
                <w:rFonts w:ascii="Times New Roman" w:hAnsi="Times New Roman"/>
                <w:sz w:val="28"/>
                <w:szCs w:val="28"/>
              </w:rPr>
              <w:t>0,00</w:t>
            </w:r>
            <w:r w:rsidR="005C430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034F60" w:rsidP="005C43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C4305">
              <w:rPr>
                <w:rFonts w:ascii="Times New Roman" w:hAnsi="Times New Roman"/>
                <w:sz w:val="28"/>
                <w:szCs w:val="28"/>
              </w:rPr>
              <w:t>0,004</w:t>
            </w:r>
          </w:p>
        </w:tc>
      </w:tr>
      <w:tr w:rsidR="00034F60" w:rsidRPr="00DF493F" w:rsidTr="005C4305">
        <w:trPr>
          <w:trHeight w:val="5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lastRenderedPageBreak/>
              <w:t>Джозам</w:t>
            </w:r>
            <w:proofErr w:type="spellEnd"/>
            <w:r w:rsidRPr="00DF493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t>цин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5C4305" w:rsidP="005C430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5C4305" w:rsidP="005C430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305">
              <w:rPr>
                <w:rFonts w:ascii="Times New Roman" w:hAnsi="Times New Roman"/>
                <w:sz w:val="28"/>
                <w:szCs w:val="28"/>
              </w:rPr>
              <w:t>0,02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034F60" w:rsidRPr="00DF493F" w:rsidTr="005C4305">
        <w:trPr>
          <w:trHeight w:val="2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t>Кларитром</w:t>
            </w:r>
            <w:proofErr w:type="spellEnd"/>
            <w:r w:rsidRPr="00DF493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t>цин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0,307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0,319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0,322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0,343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5C4305" w:rsidP="005C430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5C4305" w:rsidP="005C430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305">
              <w:rPr>
                <w:rFonts w:ascii="Times New Roman" w:hAnsi="Times New Roman"/>
                <w:sz w:val="28"/>
                <w:szCs w:val="28"/>
              </w:rPr>
              <w:t>0,27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034F60" w:rsidRPr="00DF493F" w:rsidTr="005C4305">
        <w:trPr>
          <w:trHeight w:val="2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t>Азитром</w:t>
            </w:r>
            <w:proofErr w:type="spellEnd"/>
            <w:r w:rsidRPr="00DF493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DF493F">
              <w:rPr>
                <w:rFonts w:ascii="Times New Roman" w:hAnsi="Times New Roman"/>
                <w:sz w:val="28"/>
                <w:szCs w:val="28"/>
              </w:rPr>
              <w:t>цин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0,559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0,679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0,793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60" w:rsidRPr="00DF493F" w:rsidRDefault="00034F60" w:rsidP="00EA16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493F">
              <w:rPr>
                <w:rFonts w:ascii="Times New Roman" w:hAnsi="Times New Roman"/>
                <w:sz w:val="28"/>
                <w:szCs w:val="28"/>
              </w:rPr>
              <w:t>0,963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5C4305" w:rsidP="005C430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0" w:rsidRPr="005C4305" w:rsidRDefault="005C4305" w:rsidP="005C430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305">
              <w:rPr>
                <w:rFonts w:ascii="Times New Roman" w:hAnsi="Times New Roman"/>
                <w:sz w:val="28"/>
                <w:szCs w:val="28"/>
              </w:rPr>
              <w:t>1,23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34F60" w:rsidRPr="00DF493F" w:rsidTr="005C4305">
        <w:trPr>
          <w:trHeight w:val="14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4F60" w:rsidRPr="00A91790" w:rsidRDefault="00034F60" w:rsidP="00EA169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17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4F60" w:rsidRPr="00A91790" w:rsidRDefault="00034F60" w:rsidP="00EA169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91790">
              <w:rPr>
                <w:rFonts w:ascii="Times New Roman" w:hAnsi="Times New Roman"/>
                <w:b/>
                <w:sz w:val="28"/>
                <w:szCs w:val="28"/>
              </w:rPr>
              <w:t>1,172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4F60" w:rsidRPr="00A91790" w:rsidRDefault="00034F60" w:rsidP="00EA169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91790">
              <w:rPr>
                <w:rFonts w:ascii="Times New Roman" w:hAnsi="Times New Roman"/>
                <w:b/>
                <w:sz w:val="28"/>
                <w:szCs w:val="28"/>
              </w:rPr>
              <w:t>1,246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4F60" w:rsidRPr="00A91790" w:rsidRDefault="00034F60" w:rsidP="00EA169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91790">
              <w:rPr>
                <w:rFonts w:ascii="Times New Roman" w:hAnsi="Times New Roman"/>
                <w:b/>
                <w:sz w:val="28"/>
                <w:szCs w:val="28"/>
              </w:rPr>
              <w:t>1,360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4F60" w:rsidRPr="00A91790" w:rsidRDefault="00034F60" w:rsidP="00EA169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91790">
              <w:rPr>
                <w:rFonts w:ascii="Times New Roman" w:hAnsi="Times New Roman"/>
                <w:b/>
                <w:sz w:val="28"/>
                <w:szCs w:val="28"/>
              </w:rPr>
              <w:t>1,525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4F60" w:rsidRPr="005C4305" w:rsidRDefault="005C4305" w:rsidP="005C430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4305">
              <w:rPr>
                <w:rFonts w:ascii="Times New Roman" w:hAnsi="Times New Roman"/>
                <w:b/>
                <w:sz w:val="28"/>
                <w:szCs w:val="28"/>
              </w:rPr>
              <w:t>1,500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4F60" w:rsidRPr="005C4305" w:rsidRDefault="005C4305" w:rsidP="005C430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4305">
              <w:rPr>
                <w:rFonts w:ascii="Times New Roman" w:hAnsi="Times New Roman"/>
                <w:b/>
                <w:sz w:val="28"/>
                <w:szCs w:val="28"/>
              </w:rPr>
              <w:t>1,684</w:t>
            </w:r>
          </w:p>
        </w:tc>
      </w:tr>
    </w:tbl>
    <w:p w:rsidR="00034F60" w:rsidRPr="0010432F" w:rsidRDefault="00034F60" w:rsidP="00034F60">
      <w:pPr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4F60" w:rsidRPr="00034F60" w:rsidRDefault="00034F60" w:rsidP="00E63B4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31B4" w:rsidRPr="00E657C7" w:rsidRDefault="002F31B4" w:rsidP="002F31B4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</w:pP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Найбільш споживаним препарат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ом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за весь період дослідження є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азитроміцин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. Його показники за </w:t>
      </w:r>
      <w:r w:rsidR="005C4305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п’ять 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рок</w:t>
      </w:r>
      <w:r w:rsidR="005C4305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ів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складають 0,559 в 2</w:t>
      </w:r>
      <w:r w:rsidR="005C4305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010, 0,679 в 2011, 0,793 в 2012, 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0,963 в</w:t>
      </w:r>
      <w:r w:rsidR="005C4305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2013 та </w:t>
      </w:r>
      <w:r w:rsidR="005C4305" w:rsidRPr="005C4305">
        <w:rPr>
          <w:rFonts w:ascii="Times New Roman" w:hAnsi="Times New Roman"/>
          <w:sz w:val="28"/>
          <w:szCs w:val="28"/>
        </w:rPr>
        <w:t>1,232</w:t>
      </w:r>
      <w:r w:rsidR="005C4305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DDDs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/ 1000 / день у 201</w:t>
      </w:r>
      <w:r w:rsidR="00EC038D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5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році.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На кінець досліджуваного періоду у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r w:rsidRPr="00EC038D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201</w:t>
      </w:r>
      <w:r w:rsidR="00323216" w:rsidRPr="00EC03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5</w:t>
      </w:r>
      <w:r w:rsidRPr="00EC038D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році показники його споживання зросли </w:t>
      </w:r>
      <w:r w:rsidR="00EC038D" w:rsidRPr="00EC038D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в 2,2 рази</w:t>
      </w:r>
      <w:r w:rsidRPr="00EC038D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в порівнянні з 2010 роком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.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Азитроміцин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–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бактеріостатичн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ий 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антибактеріальний засіб широкого спектра дії. Це перший представник групи напівсинтетичних 15-членних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макролідних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антибіотиків - застосовується в клінічній практиці з 1991 р і є одним з найбільш часто призначуваних препаратів в багатьох країнах світу, включаючи і Україну,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про 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що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свідчить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проведен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е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дослідження. В даний час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азитроміцин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схвалений FDA для використання у дорослих і дітей старше 6 місяців для лікування інфекцій, викликаних чутливими до нього збудниками. </w:t>
      </w:r>
    </w:p>
    <w:p w:rsidR="002F31B4" w:rsidRPr="00E657C7" w:rsidRDefault="002F31B4" w:rsidP="002F31B4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</w:pP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На другому місці за обсягами споживання в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DDDs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/ 1000 / день знаходяться препарати на основі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кларитроміцину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. Дані показники мають також позитивну динаміку: 0,307 в 2010; 0,319 в 2011; 0,322 в 2012 та 0,343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DDDs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/ 1000 / день у 2013 році.</w:t>
      </w:r>
      <w:r w:rsidR="00EC038D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Але на 2015 рік споживання знижується до </w:t>
      </w:r>
      <w:r w:rsidR="00EC038D" w:rsidRPr="00EC038D">
        <w:rPr>
          <w:rFonts w:ascii="Times New Roman" w:hAnsi="Times New Roman"/>
          <w:sz w:val="28"/>
          <w:szCs w:val="28"/>
          <w:lang w:val="uk-UA"/>
        </w:rPr>
        <w:t>0,279</w:t>
      </w:r>
      <w:r w:rsidR="00EC038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Кларитроміцин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виявляє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in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vitro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і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in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vivo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активніст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ь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проти багатьох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грампозитивних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і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грамнегативних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бактерій, найбільш активно в порівнянні з іншими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макролідами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впливає на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Helicobacter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pylory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, він активн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іший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за інш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і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антибактеріальн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і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засоб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и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і безпосередньо впливає на внутрішньоклітинні форми збудника, тому широко використовується в гастроентерології. На відміну від інших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макролідів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кларитроміцин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високоактивний проти атипових мікобактерій (M.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avium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, M.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leprae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) і перев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ищує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азитроміцин</w:t>
      </w:r>
      <w:proofErr w:type="spellEnd"/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за антимікробною активністю 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in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vitro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в 4 рази, що має значення при лікуванні опортуністичних інфекцій у хворих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з 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імунодефіцитами. Ці фармакологічні 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lastRenderedPageBreak/>
        <w:t xml:space="preserve">властивості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кларитроміцину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і забезпечують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його 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високі показники споживання</w:t>
      </w:r>
      <w:r w:rsidR="00561C8A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r w:rsidR="00561C8A" w:rsidRPr="00D24F86">
        <w:rPr>
          <w:rFonts w:ascii="Times New Roman" w:hAnsi="Times New Roman"/>
          <w:sz w:val="28"/>
          <w:szCs w:val="28"/>
          <w:lang w:val="uk-UA"/>
        </w:rPr>
        <w:t>[</w:t>
      </w:r>
      <w:r w:rsidR="00561C8A">
        <w:rPr>
          <w:rFonts w:ascii="Times New Roman" w:hAnsi="Times New Roman"/>
          <w:sz w:val="28"/>
          <w:szCs w:val="28"/>
          <w:lang w:val="uk-UA"/>
        </w:rPr>
        <w:t>9</w:t>
      </w:r>
      <w:r w:rsidR="00561C8A" w:rsidRPr="00D24F86">
        <w:rPr>
          <w:rFonts w:ascii="Times New Roman" w:hAnsi="Times New Roman"/>
          <w:sz w:val="28"/>
          <w:szCs w:val="28"/>
          <w:lang w:val="uk-UA"/>
        </w:rPr>
        <w:t>]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. </w:t>
      </w:r>
    </w:p>
    <w:p w:rsidR="002F31B4" w:rsidRPr="00E657C7" w:rsidRDefault="002F31B4" w:rsidP="002F31B4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П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репарат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и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на основі еритроміцину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використовувались у дещо іншій динаміці: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споживання з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часом знижується, і до 201</w:t>
      </w:r>
      <w:r w:rsidR="00EC038D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5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року це призводить до зниження на 20%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у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порівнянні з 2010 роком. </w:t>
      </w:r>
    </w:p>
    <w:p w:rsidR="002F31B4" w:rsidRPr="00E657C7" w:rsidRDefault="002F31B4" w:rsidP="002F31B4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</w:pP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Така ж тенденція спостерігається і в споживанні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сп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і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рам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і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цин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у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і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мідекаміц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и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у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Вказані 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препарати відносяться до природних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макролідних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антибіотиків. Еритроміцин - це перший антибіотик групи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макролідів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- був отриманий в 1952 р і як і раніше широко застосовується в клінічній практиці. Однак можливість його застосування обмежена через велику частот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у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досить легких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, але неприємних небажаних явищ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: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низько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ї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біодоступн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істі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, незручн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о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і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прийому 4 рази на день, низької активності проти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гемофільної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палички</w:t>
      </w:r>
      <w:r w:rsidR="00561C8A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r w:rsidR="00561C8A">
        <w:rPr>
          <w:rFonts w:ascii="Times New Roman" w:hAnsi="Times New Roman"/>
          <w:sz w:val="28"/>
          <w:szCs w:val="28"/>
          <w:lang w:val="uk-UA"/>
        </w:rPr>
        <w:t>[</w:t>
      </w:r>
      <w:r w:rsidR="00561C8A">
        <w:rPr>
          <w:rFonts w:ascii="Times New Roman" w:hAnsi="Times New Roman"/>
          <w:sz w:val="28"/>
          <w:szCs w:val="28"/>
          <w:lang w:val="uk-UA"/>
        </w:rPr>
        <w:t>10, 11</w:t>
      </w:r>
      <w:r w:rsidR="00561C8A">
        <w:rPr>
          <w:rFonts w:ascii="Times New Roman" w:hAnsi="Times New Roman"/>
          <w:sz w:val="28"/>
          <w:szCs w:val="28"/>
          <w:lang w:val="uk-UA"/>
        </w:rPr>
        <w:t>]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. </w:t>
      </w:r>
    </w:p>
    <w:p w:rsidR="002F31B4" w:rsidRDefault="002F31B4" w:rsidP="002F31B4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</w:pPr>
      <w:r w:rsidRPr="00CE15DA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В результаті дослідження встановлено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, що за 2010 рік всього </w:t>
      </w:r>
      <w:proofErr w:type="spellStart"/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макролідів</w:t>
      </w:r>
      <w:proofErr w:type="spellEnd"/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спожито 1,172 </w:t>
      </w:r>
      <w:proofErr w:type="spellStart"/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DDDs</w:t>
      </w:r>
      <w:proofErr w:type="spellEnd"/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/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1000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/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день, в 2011 році - 1,246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,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в 2012 - 1,360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та в 201</w:t>
      </w:r>
      <w:r w:rsidR="00EC038D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- </w:t>
      </w:r>
      <w:r w:rsidR="00EC038D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1,684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DDDs</w:t>
      </w:r>
      <w:proofErr w:type="spellEnd"/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/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1000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/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день Відзначається позитивна тенденція споживанн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я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макролідів</w:t>
      </w:r>
      <w:proofErr w:type="spellEnd"/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: збільшення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загального об’єму споживання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30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% в 201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3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році по відношенню до 2010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р</w:t>
      </w:r>
      <w:r w:rsidRPr="00E657C7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Ця тенденція спостерігається і в інших країнах.</w:t>
      </w:r>
    </w:p>
    <w:p w:rsidR="002F31B4" w:rsidRDefault="002F31B4" w:rsidP="002F31B4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</w:pPr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В останні десятиліття частота використання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макролідів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у всьому світі істотно зросла. Збільшення обсягів застосування АБП цього класу в 14 країнах Європи з 1997 по 2003 рік в середньому склало 30-60% (S.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Coenen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et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аl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., 2006). </w:t>
      </w:r>
    </w:p>
    <w:p w:rsidR="002F31B4" w:rsidRDefault="002F31B4" w:rsidP="002F31B4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</w:pPr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Широке застосування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макролідів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викликало значне зростання резистентності до них. Частота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формування</w:t>
      </w:r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резистентних штамів основних збудників широко варіює в різних країнах в усьому світі. Наприклад, у державах Азії вона становить 60%, дося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гаючи в деяких регіонах 89% (J.</w:t>
      </w:r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H.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Song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et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al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., 2004). У США поширеність резистентних штамів коливається від 30 до 50% (D.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Farrell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et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аl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., 2007). У Європі цей показник не перевищує 36% (EARSS, 2007); в Росії реєструється на рівні 6-10% (P.С. Козлов і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coaвт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., 2006). Ряд авторів вважають, що тенденція до збільшення числа </w:t>
      </w:r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lastRenderedPageBreak/>
        <w:t xml:space="preserve">мікроорганізмів, стійких до дії АБП, набуває рис прихованої пандемії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макролідрез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и</w:t>
      </w:r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стентного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пневмокока (KP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Klugman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et</w:t>
      </w:r>
      <w:proofErr w:type="spellEnd"/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.</w:t>
      </w:r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аl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., 2005). Зокрема, в США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спостерігається</w:t>
      </w:r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збільшення застосування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макролідів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на 60% за 4 роки (з 1995 по 1999 рік) призвело до підвищення поширеності резистентного S. </w:t>
      </w:r>
      <w:proofErr w:type="spellStart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pneumoniae</w:t>
      </w:r>
      <w:proofErr w:type="spellEnd"/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більш ніж </w:t>
      </w: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у</w:t>
      </w:r>
      <w:r w:rsidRPr="00F92FC8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2 рази.</w:t>
      </w:r>
    </w:p>
    <w:p w:rsidR="002F31B4" w:rsidRPr="00E657C7" w:rsidRDefault="002F31B4" w:rsidP="002F31B4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Нажаль, дані про резистентність до </w:t>
      </w:r>
      <w:proofErr w:type="spellStart"/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макролідних</w:t>
      </w:r>
      <w:proofErr w:type="spellEnd"/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антибіотиків в Україні практично відсутні. У зв’язку з цим, ми повинні опиратись виключно на показники та досвід інших країн, та контролювати раціональне споживання </w:t>
      </w:r>
      <w:proofErr w:type="spellStart"/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>макролідних</w:t>
      </w:r>
      <w:proofErr w:type="spellEnd"/>
      <w:r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антибіотиків з метою не допущення розвитку резистентності мікроорганізмів до даної групи препаратів.</w:t>
      </w:r>
    </w:p>
    <w:p w:rsidR="002F31B4" w:rsidRDefault="002F31B4" w:rsidP="002F31B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519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Висновки. </w:t>
      </w:r>
      <w:r w:rsidRPr="00485199">
        <w:rPr>
          <w:rFonts w:ascii="Times New Roman" w:hAnsi="Times New Roman"/>
          <w:sz w:val="28"/>
          <w:szCs w:val="28"/>
          <w:lang w:val="uk-UA" w:eastAsia="ru-RU"/>
        </w:rPr>
        <w:t xml:space="preserve">Проведений аналіз амбулаторного споживання антибактеріальних препаратів групи </w:t>
      </w:r>
      <w:proofErr w:type="spellStart"/>
      <w:r w:rsidRPr="00485199">
        <w:rPr>
          <w:rFonts w:ascii="Times New Roman" w:hAnsi="Times New Roman"/>
          <w:sz w:val="28"/>
          <w:szCs w:val="28"/>
          <w:lang w:val="uk-UA" w:eastAsia="ru-RU"/>
        </w:rPr>
        <w:t>макролідів</w:t>
      </w:r>
      <w:proofErr w:type="spellEnd"/>
      <w:r w:rsidRPr="00485199">
        <w:rPr>
          <w:rFonts w:ascii="Times New Roman" w:hAnsi="Times New Roman"/>
          <w:sz w:val="28"/>
          <w:szCs w:val="28"/>
          <w:lang w:val="uk-UA" w:eastAsia="ru-RU"/>
        </w:rPr>
        <w:t xml:space="preserve"> показав, що за період дослідження збільшується споживання нових препаратів, таких як, </w:t>
      </w:r>
      <w:proofErr w:type="spellStart"/>
      <w:r w:rsidRPr="00485199">
        <w:rPr>
          <w:rFonts w:ascii="Times New Roman" w:hAnsi="Times New Roman"/>
          <w:sz w:val="28"/>
          <w:szCs w:val="28"/>
          <w:lang w:val="uk-UA" w:eastAsia="ru-RU"/>
        </w:rPr>
        <w:t>азитроміцин</w:t>
      </w:r>
      <w:proofErr w:type="spellEnd"/>
      <w:r w:rsidRPr="00485199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485199">
        <w:rPr>
          <w:rFonts w:ascii="Times New Roman" w:hAnsi="Times New Roman"/>
          <w:sz w:val="28"/>
          <w:szCs w:val="28"/>
          <w:lang w:val="uk-UA" w:eastAsia="ru-RU"/>
        </w:rPr>
        <w:t>джозаміцин</w:t>
      </w:r>
      <w:proofErr w:type="spellEnd"/>
      <w:r w:rsidRPr="00485199">
        <w:rPr>
          <w:rFonts w:ascii="Times New Roman" w:hAnsi="Times New Roman"/>
          <w:sz w:val="28"/>
          <w:szCs w:val="28"/>
          <w:lang w:val="uk-UA" w:eastAsia="ru-RU"/>
        </w:rPr>
        <w:t xml:space="preserve"> та знижується споживання ранніх препаратів групи </w:t>
      </w:r>
      <w:proofErr w:type="spellStart"/>
      <w:r w:rsidRPr="00485199">
        <w:rPr>
          <w:rFonts w:ascii="Times New Roman" w:hAnsi="Times New Roman"/>
          <w:sz w:val="28"/>
          <w:szCs w:val="28"/>
          <w:lang w:val="uk-UA" w:eastAsia="ru-RU"/>
        </w:rPr>
        <w:t>макролідів</w:t>
      </w:r>
      <w:proofErr w:type="spellEnd"/>
      <w:r w:rsidRPr="00485199">
        <w:rPr>
          <w:rFonts w:ascii="Times New Roman" w:hAnsi="Times New Roman"/>
          <w:sz w:val="28"/>
          <w:szCs w:val="28"/>
          <w:lang w:val="uk-UA" w:eastAsia="ru-RU"/>
        </w:rPr>
        <w:t xml:space="preserve"> – еритроміцину і </w:t>
      </w:r>
      <w:proofErr w:type="spellStart"/>
      <w:r w:rsidRPr="00485199">
        <w:rPr>
          <w:rFonts w:ascii="Times New Roman" w:hAnsi="Times New Roman"/>
          <w:sz w:val="28"/>
          <w:szCs w:val="28"/>
          <w:lang w:val="uk-UA" w:eastAsia="ru-RU"/>
        </w:rPr>
        <w:t>спіраміцину</w:t>
      </w:r>
      <w:proofErr w:type="spellEnd"/>
      <w:r w:rsidRPr="00485199">
        <w:rPr>
          <w:rFonts w:ascii="Times New Roman" w:hAnsi="Times New Roman"/>
          <w:sz w:val="28"/>
          <w:szCs w:val="28"/>
          <w:lang w:val="uk-UA" w:eastAsia="ru-RU"/>
        </w:rPr>
        <w:t xml:space="preserve">. Надалі планується провести порівняльний аналіз споживання препаратів групи </w:t>
      </w:r>
      <w:proofErr w:type="spellStart"/>
      <w:r w:rsidRPr="00485199">
        <w:rPr>
          <w:rFonts w:ascii="Times New Roman" w:hAnsi="Times New Roman"/>
          <w:sz w:val="28"/>
          <w:szCs w:val="28"/>
          <w:lang w:val="uk-UA" w:eastAsia="ru-RU"/>
        </w:rPr>
        <w:t>макролідів</w:t>
      </w:r>
      <w:proofErr w:type="spellEnd"/>
      <w:r w:rsidRPr="00485199">
        <w:rPr>
          <w:rFonts w:ascii="Times New Roman" w:hAnsi="Times New Roman"/>
          <w:sz w:val="28"/>
          <w:szCs w:val="28"/>
          <w:lang w:val="uk-UA" w:eastAsia="ru-RU"/>
        </w:rPr>
        <w:t xml:space="preserve"> у грошовому вираженні та </w:t>
      </w:r>
      <w:r>
        <w:rPr>
          <w:rFonts w:ascii="Times New Roman" w:hAnsi="Times New Roman"/>
          <w:sz w:val="28"/>
          <w:szCs w:val="28"/>
          <w:lang w:val="uk-UA" w:eastAsia="ru-RU"/>
        </w:rPr>
        <w:t>за</w:t>
      </w:r>
      <w:r w:rsidRPr="00485199">
        <w:rPr>
          <w:rFonts w:ascii="Times New Roman" w:hAnsi="Times New Roman"/>
          <w:sz w:val="28"/>
          <w:szCs w:val="28"/>
          <w:lang w:val="uk-UA" w:eastAsia="ru-RU"/>
        </w:rPr>
        <w:t xml:space="preserve"> об’єм</w:t>
      </w:r>
      <w:r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485199">
        <w:rPr>
          <w:rFonts w:ascii="Times New Roman" w:hAnsi="Times New Roman"/>
          <w:sz w:val="28"/>
          <w:szCs w:val="28"/>
          <w:lang w:val="uk-UA" w:eastAsia="ru-RU"/>
        </w:rPr>
        <w:t xml:space="preserve"> споживання з рівнем захворюваності органів дихання.</w:t>
      </w:r>
    </w:p>
    <w:p w:rsidR="002F31B4" w:rsidRPr="002F31B4" w:rsidRDefault="002F31B4" w:rsidP="002F31B4">
      <w:pPr>
        <w:widowControl w:val="0"/>
        <w:tabs>
          <w:tab w:val="left" w:pos="354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F31B4" w:rsidRPr="0010432F" w:rsidRDefault="002F31B4" w:rsidP="002F31B4">
      <w:pPr>
        <w:widowControl w:val="0"/>
        <w:tabs>
          <w:tab w:val="left" w:pos="354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0432F">
        <w:rPr>
          <w:rFonts w:ascii="Times New Roman" w:hAnsi="Times New Roman"/>
          <w:b/>
          <w:sz w:val="28"/>
          <w:szCs w:val="28"/>
          <w:lang w:val="uk-UA" w:eastAsia="ru-RU"/>
        </w:rPr>
        <w:t>Література:</w:t>
      </w:r>
    </w:p>
    <w:p w:rsidR="002F31B4" w:rsidRPr="0010432F" w:rsidRDefault="002F31B4" w:rsidP="002F31B4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Введение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исследование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потребления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лекарственных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средств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[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Электронный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ресурс] / [авт.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перевода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Ф.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Снегирёв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] //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Еженедельник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«Аптека». – 2004. - № 435 (14). – Режим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доступа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к журн.: http://www.apteka.ua/online/20503/. </w:t>
      </w:r>
    </w:p>
    <w:p w:rsidR="002F31B4" w:rsidRDefault="002F31B4" w:rsidP="002F31B4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Вивчення споживання лікарських засобів за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анатомо-терапевтично-хімічною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класифікацією та встановленими добовими дозами (АТС/DDD-методологія) : метод.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рек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/ [А.М. Морозов, Л.В. Яковлєва, А.В. Степаненко  та ін.]. – Харків: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Стиль-Издат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2013. – 34 с.</w:t>
      </w:r>
    </w:p>
    <w:p w:rsidR="002F31B4" w:rsidRPr="003F317D" w:rsidRDefault="002F31B4" w:rsidP="002F31B4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Ref253397165"/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lastRenderedPageBreak/>
        <w:t>Кармалита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Е.Е.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Амбулаторное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потребление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антибактериальных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средств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Украине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/ Е.Е.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Кармалита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, К.Л.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Юрьев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 // Український медичний часопис. – 2008. -  №1(63). – С. 8-10.</w:t>
      </w:r>
      <w:bookmarkEnd w:id="0"/>
    </w:p>
    <w:p w:rsidR="00561C8A" w:rsidRPr="003F317D" w:rsidRDefault="00561C8A" w:rsidP="00561C8A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Anatomical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therapeutic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Chemical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(ATC)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classification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index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including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defined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daily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doses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DDDs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plain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substances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/ WHO //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Collaborating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Centre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Drug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Statistics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Methodology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hAnsi="Times New Roman"/>
          <w:sz w:val="28"/>
          <w:szCs w:val="28"/>
          <w:lang w:val="en-US" w:eastAsia="ru-RU"/>
        </w:rPr>
        <w:t>2008</w:t>
      </w:r>
      <w:r w:rsidRPr="003F317D">
        <w:rPr>
          <w:rFonts w:ascii="Times New Roman" w:hAnsi="Times New Roman"/>
          <w:sz w:val="28"/>
          <w:szCs w:val="28"/>
          <w:lang w:val="uk-UA" w:eastAsia="ru-RU"/>
        </w:rPr>
        <w:t>. – P. 23-33.</w:t>
      </w:r>
    </w:p>
    <w:p w:rsidR="00561C8A" w:rsidRPr="0010432F" w:rsidRDefault="00561C8A" w:rsidP="00561C8A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Feshchenko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Yu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I.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Antibiotic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resistance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microorganisms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State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problem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and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way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decision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/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Yu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I.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Feshchenko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, M. I.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Gumenuk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, O. S.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Denisov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//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Ukrainian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Chemical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Theraputic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Journal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– 2010. –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Vol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23, №. 1-2. – P. 4-10.   </w:t>
      </w:r>
    </w:p>
    <w:p w:rsidR="00561C8A" w:rsidRDefault="00561C8A" w:rsidP="00561C8A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Polk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R. E.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Antimicrobial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formularies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can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they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minimize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antimicrobial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resistance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? / R. E.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Polk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//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Am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J.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Health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Syst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Pharm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– 2003. –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Vol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60, № 10,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Suppl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>. 1. – P. 16-19.</w:t>
      </w:r>
    </w:p>
    <w:p w:rsidR="00561C8A" w:rsidRPr="0010432F" w:rsidRDefault="00561C8A" w:rsidP="00561C8A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Drusano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G. L.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Prevention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resistance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: A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goal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dose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selection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antimicrobial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agents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/ G. L.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Drusano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//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Clin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Infect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Dis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– 2003. –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Vol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36,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Suppl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>. 1. – P. 42-50.</w:t>
      </w:r>
    </w:p>
    <w:p w:rsidR="00561C8A" w:rsidRPr="0010432F" w:rsidRDefault="00561C8A" w:rsidP="00561C8A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European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Surveillance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Antimicrobial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Consumption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[Електронний ресурс] /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Final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Management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0432F">
        <w:rPr>
          <w:rFonts w:ascii="Times New Roman" w:hAnsi="Times New Roman"/>
          <w:sz w:val="28"/>
          <w:szCs w:val="28"/>
          <w:lang w:val="uk-UA" w:eastAsia="ru-RU"/>
        </w:rPr>
        <w:t>Report</w:t>
      </w:r>
      <w:proofErr w:type="spellEnd"/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–  2010. – 153 р.  – Режим доступу: </w:t>
      </w:r>
      <w:hyperlink r:id="rId8" w:history="1">
        <w:r w:rsidRPr="0010432F">
          <w:rPr>
            <w:rFonts w:ascii="Times New Roman" w:hAnsi="Times New Roman"/>
            <w:sz w:val="28"/>
            <w:szCs w:val="28"/>
            <w:lang w:val="uk-UA" w:eastAsia="ru-RU"/>
          </w:rPr>
          <w:t>http://app.esac.ua.ac.be/public/</w:t>
        </w:r>
      </w:hyperlink>
      <w:r w:rsidRPr="0010432F">
        <w:rPr>
          <w:rFonts w:ascii="Times New Roman" w:hAnsi="Times New Roman"/>
          <w:sz w:val="28"/>
          <w:szCs w:val="28"/>
          <w:lang w:val="uk-UA" w:eastAsia="ru-RU"/>
        </w:rPr>
        <w:t xml:space="preserve">. – Назва з екрану. </w:t>
      </w:r>
    </w:p>
    <w:p w:rsidR="002F31B4" w:rsidRPr="003F317D" w:rsidRDefault="002F31B4" w:rsidP="002F31B4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Михайлов И.Б.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Клиническая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фармакология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/  Михайлов И.Б.- М.: СОВА, 2005. – 518 с.</w:t>
      </w:r>
    </w:p>
    <w:p w:rsidR="002F31B4" w:rsidRPr="003F317D" w:rsidRDefault="002F31B4" w:rsidP="002F31B4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Практическое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руководство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антиинфекционной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химиотерапии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/ [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Аковбян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В.А.,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Анреева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А.С.,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Андреева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И.В. и др.];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под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ред. Л.С.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Страчунского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. - [1-е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изд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.]. –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Смоленск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: МАКМАХ, 2007. – 464 с. </w:t>
      </w:r>
    </w:p>
    <w:p w:rsidR="002F31B4" w:rsidRPr="003F317D" w:rsidRDefault="002F31B4" w:rsidP="002F31B4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Рациональная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антимикробная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фармакотерапия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: Рук. для практикуючих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врачей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 / [В.П.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Яковлев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, С.В.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Яковлев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, И.А. Александрова и др.]; под.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общ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. ред. В.П.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Яковлева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, С.В.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Яковлева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3F317D">
        <w:rPr>
          <w:rFonts w:ascii="Times New Roman" w:hAnsi="Times New Roman"/>
          <w:sz w:val="28"/>
          <w:szCs w:val="28"/>
          <w:lang w:val="uk-UA" w:eastAsia="ru-RU"/>
        </w:rPr>
        <w:t>Литтера</w:t>
      </w:r>
      <w:proofErr w:type="spellEnd"/>
      <w:r w:rsidRPr="003F317D">
        <w:rPr>
          <w:rFonts w:ascii="Times New Roman" w:hAnsi="Times New Roman"/>
          <w:sz w:val="28"/>
          <w:szCs w:val="28"/>
          <w:lang w:val="uk-UA" w:eastAsia="ru-RU"/>
        </w:rPr>
        <w:t>, 2003. – 1008 с. – ISBN 5-98216-002-4.</w:t>
      </w:r>
    </w:p>
    <w:p w:rsidR="00561C8A" w:rsidRDefault="00561C8A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E93DB1" w:rsidRPr="00E93DB1" w:rsidRDefault="00E93DB1" w:rsidP="00E93DB1">
      <w:pPr>
        <w:spacing w:line="360" w:lineRule="auto"/>
        <w:ind w:left="5220" w:hanging="5220"/>
        <w:rPr>
          <w:rFonts w:ascii="Times New Roman" w:hAnsi="Times New Roman"/>
          <w:sz w:val="28"/>
          <w:szCs w:val="28"/>
          <w:lang w:val="uk-UA" w:eastAsia="ru-RU"/>
        </w:rPr>
      </w:pPr>
      <w:bookmarkStart w:id="1" w:name="_GoBack"/>
      <w:bookmarkEnd w:id="1"/>
      <w:proofErr w:type="spellStart"/>
      <w:r w:rsidRPr="00E93DB1">
        <w:rPr>
          <w:rFonts w:ascii="Times New Roman" w:hAnsi="Times New Roman"/>
          <w:sz w:val="28"/>
          <w:szCs w:val="28"/>
          <w:lang w:val="uk-UA" w:eastAsia="ru-RU"/>
        </w:rPr>
        <w:lastRenderedPageBreak/>
        <w:t>Матяшова</w:t>
      </w:r>
      <w:proofErr w:type="spellEnd"/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 Наталія Олександрівна </w:t>
      </w:r>
    </w:p>
    <w:p w:rsidR="00E93DB1" w:rsidRPr="00E93DB1" w:rsidRDefault="00E93DB1" w:rsidP="00E93DB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Кандидат </w:t>
      </w:r>
      <w:proofErr w:type="spellStart"/>
      <w:r w:rsidRPr="00E93DB1">
        <w:rPr>
          <w:rFonts w:ascii="Times New Roman" w:hAnsi="Times New Roman"/>
          <w:sz w:val="28"/>
          <w:szCs w:val="28"/>
          <w:lang w:val="uk-UA" w:eastAsia="ru-RU"/>
        </w:rPr>
        <w:t>фармацевтичних</w:t>
      </w:r>
      <w:proofErr w:type="spellEnd"/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 наук, </w:t>
      </w:r>
      <w:proofErr w:type="spellStart"/>
      <w:r w:rsidRPr="00E93DB1">
        <w:rPr>
          <w:rFonts w:ascii="Times New Roman" w:hAnsi="Times New Roman"/>
          <w:sz w:val="28"/>
          <w:szCs w:val="28"/>
          <w:lang w:val="uk-UA" w:eastAsia="ru-RU"/>
        </w:rPr>
        <w:t>асистент</w:t>
      </w:r>
      <w:proofErr w:type="spellEnd"/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93DB1">
        <w:rPr>
          <w:rFonts w:ascii="Times New Roman" w:hAnsi="Times New Roman"/>
          <w:sz w:val="28"/>
          <w:szCs w:val="28"/>
          <w:lang w:val="uk-UA" w:eastAsia="ru-RU"/>
        </w:rPr>
        <w:t>кафедри</w:t>
      </w:r>
      <w:proofErr w:type="spellEnd"/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93DB1">
        <w:rPr>
          <w:rFonts w:ascii="Times New Roman" w:hAnsi="Times New Roman"/>
          <w:sz w:val="28"/>
          <w:szCs w:val="28"/>
          <w:lang w:val="uk-UA" w:eastAsia="ru-RU"/>
        </w:rPr>
        <w:t>фармакоекономіки</w:t>
      </w:r>
      <w:proofErr w:type="spellEnd"/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93DB1">
        <w:rPr>
          <w:rFonts w:ascii="Times New Roman" w:hAnsi="Times New Roman"/>
          <w:sz w:val="28"/>
          <w:szCs w:val="28"/>
          <w:lang w:val="uk-UA" w:eastAsia="ru-RU"/>
        </w:rPr>
        <w:t>Національного фармацевтичного університету.</w:t>
      </w:r>
    </w:p>
    <w:p w:rsidR="00E93DB1" w:rsidRPr="00E93DB1" w:rsidRDefault="00E93DB1" w:rsidP="00E93DB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93DB1">
        <w:rPr>
          <w:rFonts w:ascii="Times New Roman" w:hAnsi="Times New Roman"/>
          <w:b/>
          <w:sz w:val="28"/>
          <w:szCs w:val="28"/>
          <w:lang w:val="uk-UA" w:eastAsia="ru-RU"/>
        </w:rPr>
        <w:t xml:space="preserve">Адреса для </w:t>
      </w:r>
      <w:proofErr w:type="spellStart"/>
      <w:r w:rsidRPr="00E93DB1">
        <w:rPr>
          <w:rFonts w:ascii="Times New Roman" w:hAnsi="Times New Roman"/>
          <w:b/>
          <w:sz w:val="28"/>
          <w:szCs w:val="28"/>
          <w:lang w:val="uk-UA" w:eastAsia="ru-RU"/>
        </w:rPr>
        <w:t>листування</w:t>
      </w:r>
      <w:proofErr w:type="spellEnd"/>
      <w:r w:rsidRPr="00E93DB1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E93DB1" w:rsidRPr="00E93DB1" w:rsidRDefault="00E93DB1" w:rsidP="00E93DB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61168, м. </w:t>
      </w:r>
      <w:proofErr w:type="spellStart"/>
      <w:r w:rsidRPr="00E93DB1">
        <w:rPr>
          <w:rFonts w:ascii="Times New Roman" w:hAnsi="Times New Roman"/>
          <w:sz w:val="28"/>
          <w:szCs w:val="28"/>
          <w:lang w:val="uk-UA" w:eastAsia="ru-RU"/>
        </w:rPr>
        <w:t>Харків</w:t>
      </w:r>
      <w:proofErr w:type="spellEnd"/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93DB1">
        <w:rPr>
          <w:rFonts w:ascii="Times New Roman" w:hAnsi="Times New Roman"/>
          <w:sz w:val="28"/>
          <w:szCs w:val="28"/>
          <w:lang w:val="uk-UA" w:eastAsia="ru-RU"/>
        </w:rPr>
        <w:t>вул</w:t>
      </w:r>
      <w:proofErr w:type="spellEnd"/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E93DB1">
        <w:rPr>
          <w:rFonts w:ascii="Times New Roman" w:hAnsi="Times New Roman"/>
          <w:sz w:val="28"/>
          <w:szCs w:val="28"/>
          <w:lang w:val="uk-UA" w:eastAsia="ru-RU"/>
        </w:rPr>
        <w:t>Валентинівська</w:t>
      </w:r>
      <w:proofErr w:type="spellEnd"/>
      <w:r w:rsidRPr="00E93DB1">
        <w:rPr>
          <w:rFonts w:ascii="Times New Roman" w:hAnsi="Times New Roman"/>
          <w:sz w:val="28"/>
          <w:szCs w:val="28"/>
          <w:lang w:val="uk-UA" w:eastAsia="ru-RU"/>
        </w:rPr>
        <w:t>, 4 (</w:t>
      </w:r>
      <w:proofErr w:type="spellStart"/>
      <w:r w:rsidRPr="00E93DB1">
        <w:rPr>
          <w:rFonts w:ascii="Times New Roman" w:hAnsi="Times New Roman"/>
          <w:sz w:val="28"/>
          <w:szCs w:val="28"/>
          <w:lang w:val="uk-UA" w:eastAsia="ru-RU"/>
        </w:rPr>
        <w:t>вул</w:t>
      </w:r>
      <w:proofErr w:type="spellEnd"/>
      <w:r w:rsidRPr="00E93DB1">
        <w:rPr>
          <w:rFonts w:ascii="Times New Roman" w:hAnsi="Times New Roman"/>
          <w:sz w:val="28"/>
          <w:szCs w:val="28"/>
          <w:lang w:val="uk-UA" w:eastAsia="ru-RU"/>
        </w:rPr>
        <w:t>.</w:t>
      </w:r>
      <w:proofErr w:type="gramEnd"/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 Блюхера, 4), кафедра </w:t>
      </w:r>
      <w:proofErr w:type="spellStart"/>
      <w:r w:rsidRPr="00E93DB1">
        <w:rPr>
          <w:rFonts w:ascii="Times New Roman" w:hAnsi="Times New Roman"/>
          <w:sz w:val="28"/>
          <w:szCs w:val="28"/>
          <w:lang w:val="uk-UA" w:eastAsia="ru-RU"/>
        </w:rPr>
        <w:t>фармакоекономіки</w:t>
      </w:r>
      <w:proofErr w:type="spellEnd"/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93DB1">
        <w:rPr>
          <w:rFonts w:ascii="Times New Roman" w:hAnsi="Times New Roman"/>
          <w:sz w:val="28"/>
          <w:szCs w:val="28"/>
          <w:lang w:val="uk-UA" w:eastAsia="ru-RU"/>
        </w:rPr>
        <w:t>Національного</w:t>
      </w:r>
      <w:proofErr w:type="spellEnd"/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93DB1">
        <w:rPr>
          <w:rFonts w:ascii="Times New Roman" w:hAnsi="Times New Roman"/>
          <w:sz w:val="28"/>
          <w:szCs w:val="28"/>
          <w:lang w:val="uk-UA" w:eastAsia="ru-RU"/>
        </w:rPr>
        <w:t>фармацевтичного</w:t>
      </w:r>
      <w:proofErr w:type="spellEnd"/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93DB1">
        <w:rPr>
          <w:rFonts w:ascii="Times New Roman" w:hAnsi="Times New Roman"/>
          <w:sz w:val="28"/>
          <w:szCs w:val="28"/>
          <w:lang w:val="uk-UA" w:eastAsia="ru-RU"/>
        </w:rPr>
        <w:t>університету</w:t>
      </w:r>
      <w:proofErr w:type="spellEnd"/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93DB1" w:rsidRPr="00E93DB1" w:rsidRDefault="00E93DB1" w:rsidP="00E93DB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3DB1">
        <w:rPr>
          <w:rFonts w:ascii="Times New Roman" w:hAnsi="Times New Roman"/>
          <w:sz w:val="28"/>
          <w:szCs w:val="28"/>
          <w:lang w:val="uk-UA" w:eastAsia="ru-RU"/>
        </w:rPr>
        <w:t>тел.- факс  (0572) 65-88-95.</w:t>
      </w:r>
    </w:p>
    <w:p w:rsidR="00E93DB1" w:rsidRPr="00E93DB1" w:rsidRDefault="00E93DB1" w:rsidP="00E93DB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gramStart"/>
      <w:r w:rsidRPr="00E93DB1">
        <w:rPr>
          <w:rFonts w:ascii="Times New Roman" w:hAnsi="Times New Roman"/>
          <w:sz w:val="28"/>
          <w:szCs w:val="28"/>
          <w:lang w:val="uk-UA" w:eastAsia="ru-RU"/>
        </w:rPr>
        <w:t>Е</w:t>
      </w:r>
      <w:proofErr w:type="gramEnd"/>
      <w:r w:rsidRPr="00E93DB1">
        <w:rPr>
          <w:rFonts w:ascii="Times New Roman" w:hAnsi="Times New Roman"/>
          <w:sz w:val="28"/>
          <w:szCs w:val="28"/>
          <w:lang w:val="uk-UA" w:eastAsia="ru-RU"/>
        </w:rPr>
        <w:t xml:space="preserve">-mail: ph-econom@nuph.edu.ua – кафедра </w:t>
      </w:r>
      <w:proofErr w:type="spellStart"/>
      <w:r w:rsidRPr="00E93DB1">
        <w:rPr>
          <w:rFonts w:ascii="Times New Roman" w:hAnsi="Times New Roman"/>
          <w:sz w:val="28"/>
          <w:szCs w:val="28"/>
          <w:lang w:val="uk-UA" w:eastAsia="ru-RU"/>
        </w:rPr>
        <w:t>фармакоекономіки</w:t>
      </w:r>
      <w:proofErr w:type="spellEnd"/>
    </w:p>
    <w:p w:rsidR="002F31B4" w:rsidRPr="00E93DB1" w:rsidRDefault="002F31B4" w:rsidP="002F3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31B4" w:rsidRPr="00E93DB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C7" w:rsidRDefault="00EE1BC7" w:rsidP="00E93DB1">
      <w:pPr>
        <w:spacing w:after="0" w:line="240" w:lineRule="auto"/>
      </w:pPr>
      <w:r>
        <w:separator/>
      </w:r>
    </w:p>
  </w:endnote>
  <w:endnote w:type="continuationSeparator" w:id="0">
    <w:p w:rsidR="00EE1BC7" w:rsidRDefault="00EE1BC7" w:rsidP="00E9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C7" w:rsidRDefault="00EE1BC7" w:rsidP="00E93DB1">
      <w:pPr>
        <w:spacing w:after="0" w:line="240" w:lineRule="auto"/>
      </w:pPr>
      <w:r>
        <w:separator/>
      </w:r>
    </w:p>
  </w:footnote>
  <w:footnote w:type="continuationSeparator" w:id="0">
    <w:p w:rsidR="00EE1BC7" w:rsidRDefault="00EE1BC7" w:rsidP="00E9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082166"/>
      <w:docPartObj>
        <w:docPartGallery w:val="Page Numbers (Top of Page)"/>
        <w:docPartUnique/>
      </w:docPartObj>
    </w:sdtPr>
    <w:sdtContent>
      <w:p w:rsidR="00E93DB1" w:rsidRDefault="00E93D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8A">
          <w:rPr>
            <w:noProof/>
          </w:rPr>
          <w:t>1</w:t>
        </w:r>
        <w:r>
          <w:fldChar w:fldCharType="end"/>
        </w:r>
      </w:p>
    </w:sdtContent>
  </w:sdt>
  <w:p w:rsidR="00E93DB1" w:rsidRDefault="00E93D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EB4"/>
    <w:multiLevelType w:val="multilevel"/>
    <w:tmpl w:val="704CB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B4"/>
    <w:rsid w:val="00034F60"/>
    <w:rsid w:val="002F31B4"/>
    <w:rsid w:val="00323216"/>
    <w:rsid w:val="00561C8A"/>
    <w:rsid w:val="005C4305"/>
    <w:rsid w:val="00B349CE"/>
    <w:rsid w:val="00B96884"/>
    <w:rsid w:val="00C77D90"/>
    <w:rsid w:val="00E63B4D"/>
    <w:rsid w:val="00E93DB1"/>
    <w:rsid w:val="00EC038D"/>
    <w:rsid w:val="00E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31B4"/>
  </w:style>
  <w:style w:type="paragraph" w:styleId="a4">
    <w:name w:val="No Spacing"/>
    <w:link w:val="a3"/>
    <w:uiPriority w:val="1"/>
    <w:qFormat/>
    <w:rsid w:val="002F31B4"/>
    <w:pPr>
      <w:spacing w:after="0" w:line="240" w:lineRule="auto"/>
    </w:pPr>
  </w:style>
  <w:style w:type="paragraph" w:customStyle="1" w:styleId="a5">
    <w:name w:val="диссер"/>
    <w:basedOn w:val="a"/>
    <w:link w:val="a6"/>
    <w:uiPriority w:val="99"/>
    <w:qFormat/>
    <w:rsid w:val="002F31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диссер Знак"/>
    <w:link w:val="a5"/>
    <w:uiPriority w:val="99"/>
    <w:rsid w:val="002F31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hps">
    <w:name w:val="hps"/>
    <w:basedOn w:val="a0"/>
    <w:rsid w:val="00E93DB1"/>
  </w:style>
  <w:style w:type="paragraph" w:styleId="a7">
    <w:name w:val="header"/>
    <w:basedOn w:val="a"/>
    <w:link w:val="a8"/>
    <w:uiPriority w:val="99"/>
    <w:unhideWhenUsed/>
    <w:rsid w:val="00E9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DB1"/>
  </w:style>
  <w:style w:type="paragraph" w:styleId="a9">
    <w:name w:val="footer"/>
    <w:basedOn w:val="a"/>
    <w:link w:val="aa"/>
    <w:uiPriority w:val="99"/>
    <w:unhideWhenUsed/>
    <w:rsid w:val="00E9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31B4"/>
  </w:style>
  <w:style w:type="paragraph" w:styleId="a4">
    <w:name w:val="No Spacing"/>
    <w:link w:val="a3"/>
    <w:uiPriority w:val="1"/>
    <w:qFormat/>
    <w:rsid w:val="002F31B4"/>
    <w:pPr>
      <w:spacing w:after="0" w:line="240" w:lineRule="auto"/>
    </w:pPr>
  </w:style>
  <w:style w:type="paragraph" w:customStyle="1" w:styleId="a5">
    <w:name w:val="диссер"/>
    <w:basedOn w:val="a"/>
    <w:link w:val="a6"/>
    <w:uiPriority w:val="99"/>
    <w:qFormat/>
    <w:rsid w:val="002F31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диссер Знак"/>
    <w:link w:val="a5"/>
    <w:uiPriority w:val="99"/>
    <w:rsid w:val="002F31B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hps">
    <w:name w:val="hps"/>
    <w:basedOn w:val="a0"/>
    <w:rsid w:val="00E93DB1"/>
  </w:style>
  <w:style w:type="paragraph" w:styleId="a7">
    <w:name w:val="header"/>
    <w:basedOn w:val="a"/>
    <w:link w:val="a8"/>
    <w:uiPriority w:val="99"/>
    <w:unhideWhenUsed/>
    <w:rsid w:val="00E9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DB1"/>
  </w:style>
  <w:style w:type="paragraph" w:styleId="a9">
    <w:name w:val="footer"/>
    <w:basedOn w:val="a"/>
    <w:link w:val="aa"/>
    <w:uiPriority w:val="99"/>
    <w:unhideWhenUsed/>
    <w:rsid w:val="00E9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esac.ua.ac.be/publi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6834</Words>
  <Characters>3896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nphau</dc:creator>
  <cp:lastModifiedBy>Maxim</cp:lastModifiedBy>
  <cp:revision>3</cp:revision>
  <dcterms:created xsi:type="dcterms:W3CDTF">2016-04-28T13:23:00Z</dcterms:created>
  <dcterms:modified xsi:type="dcterms:W3CDTF">2016-05-04T13:41:00Z</dcterms:modified>
</cp:coreProperties>
</file>