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CD" w:rsidRPr="00675164" w:rsidRDefault="00B56CCD" w:rsidP="00675164">
      <w:pPr>
        <w:pStyle w:val="a7"/>
        <w:tabs>
          <w:tab w:val="left" w:pos="888"/>
          <w:tab w:val="left" w:pos="990"/>
        </w:tabs>
        <w:autoSpaceDE w:val="0"/>
        <w:autoSpaceDN w:val="0"/>
        <w:adjustRightInd w:val="0"/>
        <w:spacing w:after="0" w:line="360" w:lineRule="auto"/>
        <w:ind w:left="0"/>
        <w:contextualSpacing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67516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УДК: 615.1/2: 33 (075.8)</w:t>
      </w:r>
    </w:p>
    <w:p w:rsidR="003171F6" w:rsidRPr="00675164" w:rsidRDefault="00A2767F" w:rsidP="00675164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675164">
        <w:rPr>
          <w:b/>
          <w:sz w:val="28"/>
          <w:szCs w:val="28"/>
          <w:lang w:val="uk-UA"/>
        </w:rPr>
        <w:t>ОЦ</w:t>
      </w:r>
      <w:r w:rsidR="00D04EAB" w:rsidRPr="00675164">
        <w:rPr>
          <w:b/>
          <w:sz w:val="28"/>
          <w:szCs w:val="28"/>
          <w:lang w:val="uk-UA"/>
        </w:rPr>
        <w:t>ІНКА</w:t>
      </w:r>
      <w:r w:rsidRPr="00675164">
        <w:rPr>
          <w:b/>
          <w:sz w:val="28"/>
          <w:szCs w:val="28"/>
          <w:lang w:val="uk-UA"/>
        </w:rPr>
        <w:t xml:space="preserve"> </w:t>
      </w:r>
      <w:r w:rsidR="00BE66F2" w:rsidRPr="00675164">
        <w:rPr>
          <w:b/>
          <w:sz w:val="28"/>
          <w:szCs w:val="28"/>
          <w:lang w:val="uk-UA"/>
        </w:rPr>
        <w:t>ФАРМАКОТЕРАП</w:t>
      </w:r>
      <w:r w:rsidR="00D04EAB" w:rsidRPr="00675164">
        <w:rPr>
          <w:b/>
          <w:sz w:val="28"/>
          <w:szCs w:val="28"/>
          <w:lang w:val="uk-UA"/>
        </w:rPr>
        <w:t xml:space="preserve">ІЇ </w:t>
      </w:r>
      <w:r w:rsidR="00586AAD" w:rsidRPr="00675164">
        <w:rPr>
          <w:b/>
          <w:sz w:val="28"/>
          <w:szCs w:val="28"/>
          <w:lang w:val="uk-UA"/>
        </w:rPr>
        <w:t>Д</w:t>
      </w:r>
      <w:r w:rsidR="00D04EAB" w:rsidRPr="00675164">
        <w:rPr>
          <w:b/>
          <w:sz w:val="28"/>
          <w:szCs w:val="28"/>
          <w:lang w:val="uk-UA"/>
        </w:rPr>
        <w:t>ІТЕЙ З ХРОНІЧНИМ ГАСТРОДУОДЕНІТОМ В УМОВАХ РЕАЛЬНОЇ КЛІНІЧНОЇ ПРАКТИКИ</w:t>
      </w:r>
    </w:p>
    <w:p w:rsidR="008A155B" w:rsidRPr="00675164" w:rsidRDefault="008A155B" w:rsidP="00675164">
      <w:pPr>
        <w:spacing w:line="360" w:lineRule="auto"/>
        <w:ind w:firstLine="709"/>
        <w:jc w:val="center"/>
        <w:rPr>
          <w:bCs/>
          <w:sz w:val="28"/>
          <w:szCs w:val="28"/>
          <w:lang w:val="uk-UA"/>
        </w:rPr>
      </w:pPr>
      <w:r w:rsidRPr="00675164">
        <w:rPr>
          <w:bCs/>
          <w:sz w:val="28"/>
          <w:szCs w:val="28"/>
          <w:lang w:val="uk-UA"/>
        </w:rPr>
        <w:t xml:space="preserve">Герасимова О.О., </w:t>
      </w:r>
      <w:proofErr w:type="spellStart"/>
      <w:r w:rsidRPr="00675164">
        <w:rPr>
          <w:bCs/>
          <w:sz w:val="28"/>
          <w:szCs w:val="28"/>
          <w:lang w:val="uk-UA"/>
        </w:rPr>
        <w:t>Морус</w:t>
      </w:r>
      <w:proofErr w:type="spellEnd"/>
      <w:r w:rsidRPr="00675164">
        <w:rPr>
          <w:bCs/>
          <w:sz w:val="28"/>
          <w:szCs w:val="28"/>
          <w:lang w:val="uk-UA"/>
        </w:rPr>
        <w:t xml:space="preserve"> Т.В.</w:t>
      </w:r>
    </w:p>
    <w:p w:rsidR="00E7533A" w:rsidRPr="00675164" w:rsidRDefault="008A155B" w:rsidP="00675164">
      <w:pPr>
        <w:pStyle w:val="3"/>
        <w:spacing w:before="0" w:beforeAutospacing="0" w:after="0" w:afterAutospacing="0" w:line="360" w:lineRule="auto"/>
        <w:jc w:val="center"/>
        <w:rPr>
          <w:b w:val="0"/>
          <w:iCs/>
          <w:sz w:val="28"/>
          <w:szCs w:val="28"/>
          <w:lang w:val="uk-UA"/>
        </w:rPr>
      </w:pPr>
      <w:r w:rsidRPr="00675164">
        <w:rPr>
          <w:b w:val="0"/>
          <w:iCs/>
          <w:sz w:val="28"/>
          <w:szCs w:val="28"/>
          <w:lang w:val="uk-UA"/>
        </w:rPr>
        <w:t xml:space="preserve">Кафедра </w:t>
      </w:r>
      <w:proofErr w:type="spellStart"/>
      <w:r w:rsidRPr="00675164">
        <w:rPr>
          <w:b w:val="0"/>
          <w:iCs/>
          <w:sz w:val="28"/>
          <w:szCs w:val="28"/>
          <w:lang w:val="uk-UA"/>
        </w:rPr>
        <w:t>фармакоекономіки</w:t>
      </w:r>
      <w:proofErr w:type="spellEnd"/>
    </w:p>
    <w:p w:rsidR="008A155B" w:rsidRPr="00675164" w:rsidRDefault="008A155B" w:rsidP="00675164">
      <w:pPr>
        <w:pStyle w:val="3"/>
        <w:spacing w:before="0" w:beforeAutospacing="0" w:after="0" w:afterAutospacing="0" w:line="360" w:lineRule="auto"/>
        <w:jc w:val="center"/>
        <w:rPr>
          <w:b w:val="0"/>
          <w:iCs/>
          <w:sz w:val="28"/>
          <w:szCs w:val="28"/>
          <w:lang w:val="uk-UA"/>
        </w:rPr>
      </w:pPr>
      <w:r w:rsidRPr="00675164">
        <w:rPr>
          <w:b w:val="0"/>
          <w:iCs/>
          <w:sz w:val="28"/>
          <w:szCs w:val="28"/>
          <w:lang w:val="uk-UA"/>
        </w:rPr>
        <w:t>Національний фармацевтичний університет</w:t>
      </w:r>
    </w:p>
    <w:p w:rsidR="008A155B" w:rsidRPr="00675164" w:rsidRDefault="008A155B" w:rsidP="00675164">
      <w:pPr>
        <w:spacing w:line="360" w:lineRule="auto"/>
        <w:ind w:firstLine="709"/>
        <w:jc w:val="center"/>
        <w:rPr>
          <w:bCs/>
          <w:sz w:val="28"/>
          <w:szCs w:val="28"/>
          <w:lang w:val="uk-UA"/>
        </w:rPr>
      </w:pPr>
      <w:r w:rsidRPr="00675164">
        <w:rPr>
          <w:bCs/>
          <w:sz w:val="28"/>
          <w:szCs w:val="28"/>
          <w:lang w:val="uk-UA"/>
        </w:rPr>
        <w:t>ph-econom@nuph.edu.ua</w:t>
      </w:r>
    </w:p>
    <w:p w:rsidR="00C232DC" w:rsidRPr="00675164" w:rsidRDefault="00C232DC" w:rsidP="00675164">
      <w:pPr>
        <w:spacing w:line="360" w:lineRule="auto"/>
        <w:ind w:firstLine="709"/>
        <w:jc w:val="both"/>
        <w:rPr>
          <w:bCs/>
          <w:i/>
          <w:sz w:val="28"/>
          <w:szCs w:val="28"/>
          <w:lang w:val="uk-UA"/>
        </w:rPr>
      </w:pPr>
    </w:p>
    <w:p w:rsidR="00FA3F7C" w:rsidRPr="00675164" w:rsidRDefault="00D908B9" w:rsidP="00675164">
      <w:pPr>
        <w:spacing w:line="360" w:lineRule="auto"/>
        <w:ind w:firstLine="709"/>
        <w:jc w:val="both"/>
        <w:rPr>
          <w:bCs/>
          <w:i/>
          <w:sz w:val="28"/>
          <w:szCs w:val="28"/>
          <w:lang w:val="uk-UA"/>
        </w:rPr>
      </w:pPr>
      <w:r w:rsidRPr="00675164">
        <w:rPr>
          <w:bCs/>
          <w:i/>
          <w:sz w:val="28"/>
          <w:szCs w:val="28"/>
          <w:lang w:val="uk-UA"/>
        </w:rPr>
        <w:t>Ключові слова:</w:t>
      </w:r>
      <w:r w:rsidR="00C232DC" w:rsidRPr="00675164">
        <w:rPr>
          <w:sz w:val="28"/>
          <w:szCs w:val="28"/>
          <w:lang w:val="uk-UA"/>
        </w:rPr>
        <w:t xml:space="preserve"> хронічний </w:t>
      </w:r>
      <w:proofErr w:type="spellStart"/>
      <w:r w:rsidR="00C232DC" w:rsidRPr="00675164">
        <w:rPr>
          <w:sz w:val="28"/>
          <w:szCs w:val="28"/>
          <w:lang w:val="uk-UA"/>
        </w:rPr>
        <w:t>гастродуоденіт</w:t>
      </w:r>
      <w:proofErr w:type="spellEnd"/>
      <w:r w:rsidR="00C232DC" w:rsidRPr="00675164">
        <w:rPr>
          <w:sz w:val="28"/>
          <w:szCs w:val="28"/>
          <w:lang w:val="uk-UA"/>
        </w:rPr>
        <w:t xml:space="preserve">, </w:t>
      </w:r>
      <w:r w:rsidR="00BB421C" w:rsidRPr="00675164">
        <w:rPr>
          <w:sz w:val="28"/>
          <w:szCs w:val="28"/>
          <w:lang w:val="uk-UA"/>
        </w:rPr>
        <w:t>пацієнти дитячого віку,</w:t>
      </w:r>
      <w:r w:rsidR="00BB421C" w:rsidRPr="00675164">
        <w:rPr>
          <w:b/>
          <w:sz w:val="28"/>
          <w:szCs w:val="28"/>
          <w:lang w:val="uk-UA"/>
        </w:rPr>
        <w:t xml:space="preserve"> </w:t>
      </w:r>
      <w:r w:rsidR="00C232DC" w:rsidRPr="00675164">
        <w:rPr>
          <w:sz w:val="28"/>
          <w:szCs w:val="28"/>
          <w:lang w:val="uk-UA"/>
        </w:rPr>
        <w:t xml:space="preserve">клініко-економічний аналіз, </w:t>
      </w:r>
      <w:proofErr w:type="spellStart"/>
      <w:r w:rsidR="00C232DC" w:rsidRPr="00675164">
        <w:rPr>
          <w:sz w:val="28"/>
          <w:szCs w:val="28"/>
          <w:lang w:val="uk-UA"/>
        </w:rPr>
        <w:t>АВС-аналіз</w:t>
      </w:r>
      <w:proofErr w:type="spellEnd"/>
      <w:r w:rsidR="00C232DC" w:rsidRPr="00675164">
        <w:rPr>
          <w:sz w:val="28"/>
          <w:szCs w:val="28"/>
          <w:lang w:val="uk-UA"/>
        </w:rPr>
        <w:t>, частотний аналіз</w:t>
      </w:r>
    </w:p>
    <w:p w:rsidR="00D908B9" w:rsidRPr="00675164" w:rsidRDefault="00D908B9" w:rsidP="00675164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B56CCD" w:rsidRPr="00675164" w:rsidRDefault="00B56CCD" w:rsidP="00675164">
      <w:pPr>
        <w:spacing w:line="360" w:lineRule="auto"/>
        <w:ind w:firstLine="709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675164">
        <w:rPr>
          <w:i/>
          <w:sz w:val="28"/>
          <w:szCs w:val="28"/>
          <w:shd w:val="clear" w:color="auto" w:fill="FFFFFF"/>
          <w:lang w:val="uk-UA"/>
        </w:rPr>
        <w:t xml:space="preserve">The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evaluation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of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pharmacotherapy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of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the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chronic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gastroduodenitis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in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children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who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underwent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treatment in gastroenterological department of one of the health care institutions in Kharkov, has been carried out by means of supplementary clinical and economic methods: ABC- and frequency analysis. According to the results of frequency analysis was determined that the dominant direction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of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treatment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of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children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with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chronic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gastroduodenitis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in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that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health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care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institution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is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pathogenetic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therapy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of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basic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disease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chronic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gastroduodenitis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)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and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concomitant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gastroenterological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pathology. It has been established that a significant part of (35,13 %) of funds which were spent on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pharmacotherapy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is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associated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with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two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medicines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>: "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Smecta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>" (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group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"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Other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intestinal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adsorbents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")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and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"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Iberogast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" (a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group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of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drugs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for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functional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gastrointestinal disorders). Comparison of the results of the ABC- and frequency analysis showed that the main funds associated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with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pharmacotherapy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of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children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with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chronic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gastroduodenitis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in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that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health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75164">
        <w:rPr>
          <w:i/>
          <w:sz w:val="28"/>
          <w:szCs w:val="28"/>
          <w:shd w:val="clear" w:color="auto" w:fill="FFFFFF"/>
          <w:lang w:val="uk-UA"/>
        </w:rPr>
        <w:t>care</w:t>
      </w:r>
      <w:proofErr w:type="spellEnd"/>
      <w:r w:rsidRPr="00675164">
        <w:rPr>
          <w:i/>
          <w:sz w:val="28"/>
          <w:szCs w:val="28"/>
          <w:shd w:val="clear" w:color="auto" w:fill="FFFFFF"/>
          <w:lang w:val="uk-UA"/>
        </w:rPr>
        <w:t xml:space="preserve"> institution has been spent on frequently prescribed drugs: drugs of the most costly group A were prescribed almost half of all patients (48,90 %).</w:t>
      </w:r>
    </w:p>
    <w:p w:rsidR="00D908B9" w:rsidRPr="00675164" w:rsidRDefault="00D908B9" w:rsidP="00675164">
      <w:pPr>
        <w:spacing w:line="360" w:lineRule="auto"/>
        <w:ind w:firstLine="709"/>
        <w:jc w:val="both"/>
        <w:rPr>
          <w:b/>
          <w:bCs/>
          <w:sz w:val="28"/>
          <w:szCs w:val="28"/>
          <w:lang w:val="en-US"/>
        </w:rPr>
      </w:pPr>
    </w:p>
    <w:p w:rsidR="009C2EBE" w:rsidRPr="00675164" w:rsidRDefault="0071568A" w:rsidP="0067516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75164">
        <w:rPr>
          <w:b/>
          <w:sz w:val="28"/>
          <w:szCs w:val="28"/>
          <w:shd w:val="clear" w:color="auto" w:fill="FFFFFF"/>
          <w:lang w:val="uk-UA"/>
        </w:rPr>
        <w:t>В</w:t>
      </w:r>
      <w:r w:rsidR="008A155B" w:rsidRPr="00675164">
        <w:rPr>
          <w:b/>
          <w:sz w:val="28"/>
          <w:szCs w:val="28"/>
          <w:shd w:val="clear" w:color="auto" w:fill="FFFFFF"/>
          <w:lang w:val="uk-UA"/>
        </w:rPr>
        <w:t>ступ</w:t>
      </w:r>
      <w:r w:rsidRPr="00675164">
        <w:rPr>
          <w:b/>
          <w:sz w:val="28"/>
          <w:szCs w:val="28"/>
          <w:shd w:val="clear" w:color="auto" w:fill="FFFFFF"/>
          <w:lang w:val="uk-UA"/>
        </w:rPr>
        <w:t>.</w:t>
      </w:r>
      <w:r w:rsidR="00657EA8" w:rsidRPr="00675164">
        <w:rPr>
          <w:sz w:val="28"/>
          <w:szCs w:val="28"/>
          <w:shd w:val="clear" w:color="auto" w:fill="FFFFFF"/>
          <w:lang w:val="uk-UA"/>
        </w:rPr>
        <w:t xml:space="preserve"> </w:t>
      </w:r>
      <w:r w:rsidR="00A83CE0" w:rsidRPr="00675164">
        <w:rPr>
          <w:sz w:val="28"/>
          <w:szCs w:val="28"/>
          <w:shd w:val="clear" w:color="auto" w:fill="FFFFFF"/>
          <w:lang w:val="uk-UA"/>
        </w:rPr>
        <w:t xml:space="preserve">Хронічний </w:t>
      </w:r>
      <w:proofErr w:type="spellStart"/>
      <w:r w:rsidR="00A83CE0" w:rsidRPr="00675164">
        <w:rPr>
          <w:sz w:val="28"/>
          <w:szCs w:val="28"/>
          <w:shd w:val="clear" w:color="auto" w:fill="FFFFFF"/>
          <w:lang w:val="uk-UA"/>
        </w:rPr>
        <w:t>гастродуоденіт</w:t>
      </w:r>
      <w:proofErr w:type="spellEnd"/>
      <w:r w:rsidR="00A83CE0" w:rsidRPr="00675164">
        <w:rPr>
          <w:sz w:val="28"/>
          <w:szCs w:val="28"/>
          <w:shd w:val="clear" w:color="auto" w:fill="FFFFFF"/>
          <w:lang w:val="uk-UA"/>
        </w:rPr>
        <w:t xml:space="preserve"> (ХГД) займає одне з провідних місць </w:t>
      </w:r>
      <w:r w:rsidR="006F640D" w:rsidRPr="00675164">
        <w:rPr>
          <w:sz w:val="28"/>
          <w:szCs w:val="28"/>
          <w:shd w:val="clear" w:color="auto" w:fill="FFFFFF"/>
          <w:lang w:val="uk-UA"/>
        </w:rPr>
        <w:t>серед</w:t>
      </w:r>
      <w:r w:rsidR="0027496A" w:rsidRPr="00675164">
        <w:rPr>
          <w:sz w:val="28"/>
          <w:szCs w:val="28"/>
          <w:shd w:val="clear" w:color="auto" w:fill="FFFFFF"/>
          <w:lang w:val="uk-UA"/>
        </w:rPr>
        <w:t xml:space="preserve"> </w:t>
      </w:r>
      <w:r w:rsidR="00A83CE0" w:rsidRPr="00675164">
        <w:rPr>
          <w:sz w:val="28"/>
          <w:szCs w:val="28"/>
          <w:shd w:val="clear" w:color="auto" w:fill="FFFFFF"/>
          <w:lang w:val="uk-UA"/>
        </w:rPr>
        <w:t>п</w:t>
      </w:r>
      <w:r w:rsidR="00657EA8" w:rsidRPr="00675164">
        <w:rPr>
          <w:sz w:val="28"/>
          <w:szCs w:val="28"/>
          <w:shd w:val="clear" w:color="auto" w:fill="FFFFFF"/>
          <w:lang w:val="uk-UA"/>
        </w:rPr>
        <w:t>атологі</w:t>
      </w:r>
      <w:r w:rsidR="00A83CE0" w:rsidRPr="00675164">
        <w:rPr>
          <w:sz w:val="28"/>
          <w:szCs w:val="28"/>
          <w:shd w:val="clear" w:color="auto" w:fill="FFFFFF"/>
          <w:lang w:val="uk-UA"/>
        </w:rPr>
        <w:t>ї</w:t>
      </w:r>
      <w:r w:rsidR="00657EA8" w:rsidRPr="00675164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57EA8" w:rsidRPr="00675164">
        <w:rPr>
          <w:sz w:val="28"/>
          <w:szCs w:val="28"/>
          <w:shd w:val="clear" w:color="auto" w:fill="FFFFFF"/>
          <w:lang w:val="uk-UA"/>
        </w:rPr>
        <w:t>гастродуоденальної</w:t>
      </w:r>
      <w:proofErr w:type="spellEnd"/>
      <w:r w:rsidR="00657EA8" w:rsidRPr="00675164">
        <w:rPr>
          <w:sz w:val="28"/>
          <w:szCs w:val="28"/>
          <w:shd w:val="clear" w:color="auto" w:fill="FFFFFF"/>
          <w:lang w:val="uk-UA"/>
        </w:rPr>
        <w:t xml:space="preserve"> зони </w:t>
      </w:r>
      <w:r w:rsidR="00A83CE0" w:rsidRPr="00675164">
        <w:rPr>
          <w:sz w:val="28"/>
          <w:szCs w:val="28"/>
          <w:shd w:val="clear" w:color="auto" w:fill="FFFFFF"/>
          <w:lang w:val="uk-UA"/>
        </w:rPr>
        <w:t>у дітей</w:t>
      </w:r>
      <w:r w:rsidR="00B729EA" w:rsidRPr="00675164">
        <w:rPr>
          <w:sz w:val="28"/>
          <w:szCs w:val="28"/>
          <w:shd w:val="clear" w:color="auto" w:fill="FFFFFF"/>
          <w:lang w:val="uk-UA"/>
        </w:rPr>
        <w:t xml:space="preserve"> </w:t>
      </w:r>
      <w:r w:rsidR="00B729EA" w:rsidRPr="00675164">
        <w:rPr>
          <w:sz w:val="28"/>
          <w:szCs w:val="28"/>
          <w:shd w:val="clear" w:color="auto" w:fill="FFFFFF"/>
        </w:rPr>
        <w:t>[1]</w:t>
      </w:r>
      <w:r w:rsidR="00A83CE0" w:rsidRPr="00675164">
        <w:rPr>
          <w:sz w:val="28"/>
          <w:szCs w:val="28"/>
          <w:shd w:val="clear" w:color="auto" w:fill="FFFFFF"/>
          <w:lang w:val="uk-UA"/>
        </w:rPr>
        <w:t xml:space="preserve">. В </w:t>
      </w:r>
      <w:r w:rsidR="006F640D" w:rsidRPr="00675164">
        <w:rPr>
          <w:sz w:val="28"/>
          <w:szCs w:val="28"/>
          <w:shd w:val="clear" w:color="auto" w:fill="FFFFFF"/>
          <w:lang w:val="uk-UA"/>
        </w:rPr>
        <w:t xml:space="preserve">Україні щороку </w:t>
      </w:r>
      <w:r w:rsidR="008C2FAC" w:rsidRPr="00675164">
        <w:rPr>
          <w:sz w:val="28"/>
          <w:szCs w:val="28"/>
          <w:shd w:val="clear" w:color="auto" w:fill="FFFFFF"/>
          <w:lang w:val="uk-UA"/>
        </w:rPr>
        <w:t xml:space="preserve">вперше </w:t>
      </w:r>
      <w:r w:rsidR="006F640D" w:rsidRPr="00675164">
        <w:rPr>
          <w:sz w:val="28"/>
          <w:szCs w:val="28"/>
          <w:shd w:val="clear" w:color="auto" w:fill="FFFFFF"/>
          <w:lang w:val="uk-UA"/>
        </w:rPr>
        <w:lastRenderedPageBreak/>
        <w:t>діагностується 50000 випадків захворювання в дитячому віці</w:t>
      </w:r>
      <w:r w:rsidR="00930FE2" w:rsidRPr="00675164">
        <w:rPr>
          <w:sz w:val="28"/>
          <w:szCs w:val="28"/>
          <w:lang w:val="uk-UA"/>
        </w:rPr>
        <w:t xml:space="preserve"> </w:t>
      </w:r>
      <w:r w:rsidR="005C6301" w:rsidRPr="00675164">
        <w:rPr>
          <w:sz w:val="28"/>
          <w:szCs w:val="28"/>
          <w:lang w:val="uk-UA"/>
        </w:rPr>
        <w:t>[</w:t>
      </w:r>
      <w:r w:rsidR="00C332A6" w:rsidRPr="00675164">
        <w:rPr>
          <w:sz w:val="28"/>
          <w:szCs w:val="28"/>
          <w:lang w:val="uk-UA"/>
        </w:rPr>
        <w:t>2,3</w:t>
      </w:r>
      <w:r w:rsidR="005C6301" w:rsidRPr="00675164">
        <w:rPr>
          <w:sz w:val="28"/>
          <w:szCs w:val="28"/>
          <w:lang w:val="uk-UA"/>
        </w:rPr>
        <w:t xml:space="preserve">]. </w:t>
      </w:r>
      <w:r w:rsidR="00461F96" w:rsidRPr="00675164">
        <w:rPr>
          <w:sz w:val="28"/>
          <w:szCs w:val="28"/>
          <w:shd w:val="clear" w:color="auto" w:fill="FFFFFF"/>
          <w:lang w:val="uk-UA"/>
        </w:rPr>
        <w:t>Поширеність ХГД у дітей дошкільного віку становить 81,6, у дітей 7-15 років − від 100 до 130,8 та у підлітків – 135 на 1000 осіб дитячого населення</w:t>
      </w:r>
      <w:r w:rsidR="00025FCD" w:rsidRPr="00675164">
        <w:rPr>
          <w:sz w:val="28"/>
          <w:szCs w:val="28"/>
          <w:shd w:val="clear" w:color="auto" w:fill="FFFFFF"/>
          <w:lang w:val="uk-UA"/>
        </w:rPr>
        <w:t>, відповідно</w:t>
      </w:r>
      <w:r w:rsidR="00461F96" w:rsidRPr="00675164">
        <w:rPr>
          <w:sz w:val="28"/>
          <w:szCs w:val="28"/>
          <w:shd w:val="clear" w:color="auto" w:fill="FFFFFF"/>
          <w:lang w:val="uk-UA"/>
        </w:rPr>
        <w:t xml:space="preserve"> [</w:t>
      </w:r>
      <w:r w:rsidR="00C332A6" w:rsidRPr="00675164">
        <w:rPr>
          <w:sz w:val="28"/>
          <w:szCs w:val="28"/>
          <w:shd w:val="clear" w:color="auto" w:fill="FFFFFF"/>
          <w:lang w:val="uk-UA"/>
        </w:rPr>
        <w:t>2</w:t>
      </w:r>
      <w:r w:rsidR="00461F96" w:rsidRPr="00675164">
        <w:rPr>
          <w:sz w:val="28"/>
          <w:szCs w:val="28"/>
          <w:shd w:val="clear" w:color="auto" w:fill="FFFFFF"/>
          <w:lang w:val="uk-UA"/>
        </w:rPr>
        <w:t>].</w:t>
      </w:r>
      <w:r w:rsidR="00461F96" w:rsidRPr="00675164">
        <w:rPr>
          <w:sz w:val="28"/>
          <w:szCs w:val="28"/>
          <w:lang w:val="uk-UA"/>
        </w:rPr>
        <w:t xml:space="preserve"> </w:t>
      </w:r>
      <w:r w:rsidR="000D2A8D" w:rsidRPr="00675164">
        <w:rPr>
          <w:sz w:val="28"/>
          <w:szCs w:val="28"/>
          <w:lang w:val="uk-UA"/>
        </w:rPr>
        <w:t xml:space="preserve">Хронічний </w:t>
      </w:r>
      <w:proofErr w:type="spellStart"/>
      <w:r w:rsidR="000D2A8D" w:rsidRPr="00675164">
        <w:rPr>
          <w:sz w:val="28"/>
          <w:szCs w:val="28"/>
          <w:lang w:val="uk-UA"/>
        </w:rPr>
        <w:t>гастродуоденіт</w:t>
      </w:r>
      <w:proofErr w:type="spellEnd"/>
      <w:r w:rsidR="000D2A8D" w:rsidRPr="00675164">
        <w:rPr>
          <w:sz w:val="28"/>
          <w:szCs w:val="28"/>
          <w:lang w:val="uk-UA"/>
        </w:rPr>
        <w:t xml:space="preserve"> характеризується </w:t>
      </w:r>
      <w:proofErr w:type="spellStart"/>
      <w:r w:rsidR="000D2A8D" w:rsidRPr="00675164">
        <w:rPr>
          <w:sz w:val="28"/>
          <w:szCs w:val="28"/>
          <w:lang w:val="uk-UA"/>
        </w:rPr>
        <w:t>рецидивуючим</w:t>
      </w:r>
      <w:proofErr w:type="spellEnd"/>
      <w:r w:rsidR="000D2A8D" w:rsidRPr="00675164">
        <w:rPr>
          <w:sz w:val="28"/>
          <w:szCs w:val="28"/>
          <w:lang w:val="uk-UA"/>
        </w:rPr>
        <w:t xml:space="preserve"> перебігом, можливістю розвитку ускладнень (</w:t>
      </w:r>
      <w:r w:rsidR="000D2A8D" w:rsidRPr="00675164">
        <w:rPr>
          <w:bCs/>
          <w:sz w:val="28"/>
          <w:szCs w:val="28"/>
          <w:lang w:val="uk-UA"/>
        </w:rPr>
        <w:t>холецистит, панкреатит, ентероколіт, множинні ерозії травного тракту та інші)</w:t>
      </w:r>
      <w:r w:rsidR="000D2A8D" w:rsidRPr="00675164">
        <w:rPr>
          <w:sz w:val="28"/>
          <w:szCs w:val="28"/>
          <w:lang w:val="uk-UA"/>
        </w:rPr>
        <w:t xml:space="preserve">, толерантністю до загальноприйнятих методів терапії, </w:t>
      </w:r>
      <w:r w:rsidR="00657EA8" w:rsidRPr="00675164">
        <w:rPr>
          <w:sz w:val="28"/>
          <w:szCs w:val="28"/>
          <w:lang w:val="uk-UA"/>
        </w:rPr>
        <w:t xml:space="preserve">зниженням якості життя дітей, </w:t>
      </w:r>
      <w:r w:rsidR="000D2A8D" w:rsidRPr="00675164">
        <w:rPr>
          <w:sz w:val="28"/>
          <w:szCs w:val="28"/>
          <w:lang w:val="uk-UA"/>
        </w:rPr>
        <w:t>високою ймовірністю формування первинної інвалідності дорослих та супроводжується значними витратами на лікування</w:t>
      </w:r>
      <w:r w:rsidR="003E7775" w:rsidRPr="00675164">
        <w:rPr>
          <w:sz w:val="28"/>
          <w:szCs w:val="28"/>
          <w:lang w:val="uk-UA"/>
        </w:rPr>
        <w:t xml:space="preserve"> [</w:t>
      </w:r>
      <w:r w:rsidR="00C332A6" w:rsidRPr="00675164">
        <w:rPr>
          <w:sz w:val="28"/>
          <w:szCs w:val="28"/>
          <w:lang w:val="uk-UA"/>
        </w:rPr>
        <w:t xml:space="preserve">2,4,5]. </w:t>
      </w:r>
      <w:r w:rsidR="00911C2F" w:rsidRPr="00675164">
        <w:rPr>
          <w:sz w:val="28"/>
          <w:szCs w:val="28"/>
          <w:lang w:val="uk-UA"/>
        </w:rPr>
        <w:t>Тільки н</w:t>
      </w:r>
      <w:r w:rsidR="00911C2F" w:rsidRPr="00675164">
        <w:rPr>
          <w:bCs/>
          <w:sz w:val="28"/>
          <w:szCs w:val="28"/>
          <w:lang w:val="uk-UA"/>
        </w:rPr>
        <w:t xml:space="preserve">а закупівлю </w:t>
      </w:r>
      <w:proofErr w:type="spellStart"/>
      <w:r w:rsidR="00911C2F" w:rsidRPr="00675164">
        <w:rPr>
          <w:bCs/>
          <w:sz w:val="28"/>
          <w:szCs w:val="28"/>
          <w:lang w:val="uk-UA"/>
        </w:rPr>
        <w:t>антисекреторних</w:t>
      </w:r>
      <w:proofErr w:type="spellEnd"/>
      <w:r w:rsidR="00911C2F" w:rsidRPr="00675164">
        <w:rPr>
          <w:bCs/>
          <w:sz w:val="28"/>
          <w:szCs w:val="28"/>
          <w:lang w:val="uk-UA"/>
        </w:rPr>
        <w:t xml:space="preserve"> препаратів у Німеччині</w:t>
      </w:r>
      <w:r w:rsidR="00911C2F" w:rsidRPr="00675164">
        <w:rPr>
          <w:sz w:val="28"/>
          <w:szCs w:val="28"/>
          <w:shd w:val="clear" w:color="auto" w:fill="FFFFFF"/>
          <w:lang w:val="uk-UA"/>
        </w:rPr>
        <w:t xml:space="preserve"> </w:t>
      </w:r>
      <w:r w:rsidR="00911C2F" w:rsidRPr="00675164">
        <w:rPr>
          <w:bCs/>
          <w:sz w:val="28"/>
          <w:szCs w:val="28"/>
          <w:lang w:val="uk-UA"/>
        </w:rPr>
        <w:t xml:space="preserve">витрачається щороку більше 500 </w:t>
      </w:r>
      <w:proofErr w:type="spellStart"/>
      <w:r w:rsidR="00911C2F" w:rsidRPr="00675164">
        <w:rPr>
          <w:bCs/>
          <w:sz w:val="28"/>
          <w:szCs w:val="28"/>
          <w:lang w:val="uk-UA"/>
        </w:rPr>
        <w:t>млн</w:t>
      </w:r>
      <w:proofErr w:type="spellEnd"/>
      <w:r w:rsidR="00911C2F" w:rsidRPr="00675164">
        <w:rPr>
          <w:bCs/>
          <w:sz w:val="28"/>
          <w:szCs w:val="28"/>
          <w:lang w:val="uk-UA"/>
        </w:rPr>
        <w:t xml:space="preserve"> євро </w:t>
      </w:r>
      <w:r w:rsidR="00911C2F" w:rsidRPr="00675164">
        <w:rPr>
          <w:sz w:val="28"/>
          <w:szCs w:val="28"/>
          <w:shd w:val="clear" w:color="auto" w:fill="FFFFFF"/>
          <w:lang w:val="uk-UA"/>
        </w:rPr>
        <w:t>[</w:t>
      </w:r>
      <w:r w:rsidR="00C332A6" w:rsidRPr="00675164">
        <w:rPr>
          <w:sz w:val="28"/>
          <w:szCs w:val="28"/>
          <w:shd w:val="clear" w:color="auto" w:fill="FFFFFF"/>
        </w:rPr>
        <w:t>5</w:t>
      </w:r>
      <w:r w:rsidR="00911C2F" w:rsidRPr="00675164">
        <w:rPr>
          <w:sz w:val="28"/>
          <w:szCs w:val="28"/>
          <w:shd w:val="clear" w:color="auto" w:fill="FFFFFF"/>
          <w:lang w:val="uk-UA"/>
        </w:rPr>
        <w:t xml:space="preserve">]. </w:t>
      </w:r>
      <w:r w:rsidR="00BA379A" w:rsidRPr="00675164">
        <w:rPr>
          <w:sz w:val="28"/>
          <w:szCs w:val="28"/>
          <w:lang w:val="uk-UA"/>
        </w:rPr>
        <w:t>Для о</w:t>
      </w:r>
      <w:r w:rsidR="005A65FF" w:rsidRPr="00675164">
        <w:rPr>
          <w:sz w:val="28"/>
          <w:szCs w:val="28"/>
          <w:lang w:val="uk-UA"/>
        </w:rPr>
        <w:t>птим</w:t>
      </w:r>
      <w:r w:rsidR="008C2FAC" w:rsidRPr="00675164">
        <w:rPr>
          <w:sz w:val="28"/>
          <w:szCs w:val="28"/>
          <w:lang w:val="uk-UA"/>
        </w:rPr>
        <w:t>і</w:t>
      </w:r>
      <w:r w:rsidR="005A65FF" w:rsidRPr="00675164">
        <w:rPr>
          <w:sz w:val="28"/>
          <w:szCs w:val="28"/>
          <w:lang w:val="uk-UA"/>
        </w:rPr>
        <w:t>з</w:t>
      </w:r>
      <w:r w:rsidR="00BA379A" w:rsidRPr="00675164">
        <w:rPr>
          <w:sz w:val="28"/>
          <w:szCs w:val="28"/>
          <w:lang w:val="uk-UA"/>
        </w:rPr>
        <w:t>ац</w:t>
      </w:r>
      <w:r w:rsidR="0093459E" w:rsidRPr="00675164">
        <w:rPr>
          <w:sz w:val="28"/>
          <w:szCs w:val="28"/>
          <w:lang w:val="uk-UA"/>
        </w:rPr>
        <w:t>ії</w:t>
      </w:r>
      <w:r w:rsidR="00BA379A" w:rsidRPr="00675164">
        <w:rPr>
          <w:sz w:val="28"/>
          <w:szCs w:val="28"/>
          <w:lang w:val="uk-UA"/>
        </w:rPr>
        <w:t xml:space="preserve"> </w:t>
      </w:r>
      <w:r w:rsidR="00F82FE3" w:rsidRPr="00675164">
        <w:rPr>
          <w:sz w:val="28"/>
          <w:szCs w:val="28"/>
          <w:lang w:val="uk-UA"/>
        </w:rPr>
        <w:t>фармакотерап</w:t>
      </w:r>
      <w:r w:rsidR="0093459E" w:rsidRPr="00675164">
        <w:rPr>
          <w:sz w:val="28"/>
          <w:szCs w:val="28"/>
          <w:lang w:val="uk-UA"/>
        </w:rPr>
        <w:t>ії</w:t>
      </w:r>
      <w:r w:rsidR="00F82FE3" w:rsidRPr="00675164">
        <w:rPr>
          <w:sz w:val="28"/>
          <w:szCs w:val="28"/>
          <w:lang w:val="uk-UA"/>
        </w:rPr>
        <w:t xml:space="preserve"> за</w:t>
      </w:r>
      <w:r w:rsidR="0093459E" w:rsidRPr="00675164">
        <w:rPr>
          <w:sz w:val="28"/>
          <w:szCs w:val="28"/>
          <w:lang w:val="uk-UA"/>
        </w:rPr>
        <w:t>хворювання та витрат на її проведення доцільним є клініко-економічний анал</w:t>
      </w:r>
      <w:r w:rsidR="008C2FAC" w:rsidRPr="00675164">
        <w:rPr>
          <w:sz w:val="28"/>
          <w:szCs w:val="28"/>
          <w:lang w:val="uk-UA"/>
        </w:rPr>
        <w:t>і</w:t>
      </w:r>
      <w:r w:rsidR="0093459E" w:rsidRPr="00675164">
        <w:rPr>
          <w:sz w:val="28"/>
          <w:szCs w:val="28"/>
          <w:lang w:val="uk-UA"/>
        </w:rPr>
        <w:t>з призначень лікарських препаратів (ЛП) в реальній клінічній практиці</w:t>
      </w:r>
      <w:r w:rsidR="005A65FF" w:rsidRPr="00675164">
        <w:rPr>
          <w:sz w:val="28"/>
          <w:szCs w:val="28"/>
          <w:lang w:val="uk-UA"/>
        </w:rPr>
        <w:t xml:space="preserve"> </w:t>
      </w:r>
      <w:r w:rsidR="001F71FF" w:rsidRPr="00675164">
        <w:rPr>
          <w:sz w:val="28"/>
          <w:szCs w:val="28"/>
          <w:lang w:val="uk-UA"/>
        </w:rPr>
        <w:t>[</w:t>
      </w:r>
      <w:r w:rsidR="00C332A6" w:rsidRPr="00675164">
        <w:rPr>
          <w:sz w:val="28"/>
          <w:szCs w:val="28"/>
          <w:lang w:val="uk-UA"/>
        </w:rPr>
        <w:t>6,7</w:t>
      </w:r>
      <w:r w:rsidR="001F71FF" w:rsidRPr="00675164">
        <w:rPr>
          <w:sz w:val="28"/>
          <w:szCs w:val="28"/>
          <w:lang w:val="uk-UA"/>
        </w:rPr>
        <w:t>]</w:t>
      </w:r>
      <w:r w:rsidR="009C2EBE" w:rsidRPr="00675164">
        <w:rPr>
          <w:sz w:val="28"/>
          <w:szCs w:val="28"/>
          <w:lang w:val="uk-UA"/>
        </w:rPr>
        <w:t>.</w:t>
      </w:r>
    </w:p>
    <w:p w:rsidR="00131AB3" w:rsidRPr="00675164" w:rsidRDefault="008A155B" w:rsidP="0067516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75164">
        <w:rPr>
          <w:sz w:val="28"/>
          <w:szCs w:val="28"/>
          <w:lang w:val="uk-UA"/>
        </w:rPr>
        <w:t>Мета роботи</w:t>
      </w:r>
      <w:r w:rsidR="00F96ADD" w:rsidRPr="00675164">
        <w:rPr>
          <w:sz w:val="28"/>
          <w:szCs w:val="28"/>
          <w:lang w:val="uk-UA"/>
        </w:rPr>
        <w:t xml:space="preserve"> </w:t>
      </w:r>
      <w:r w:rsidR="00272E8A" w:rsidRPr="00675164">
        <w:rPr>
          <w:sz w:val="28"/>
          <w:szCs w:val="28"/>
          <w:lang w:val="uk-UA"/>
        </w:rPr>
        <w:t xml:space="preserve">– </w:t>
      </w:r>
      <w:r w:rsidR="00F96ADD" w:rsidRPr="00675164">
        <w:rPr>
          <w:sz w:val="28"/>
          <w:szCs w:val="28"/>
          <w:lang w:val="uk-UA"/>
        </w:rPr>
        <w:t>оц</w:t>
      </w:r>
      <w:r w:rsidR="00131AB3" w:rsidRPr="00675164">
        <w:rPr>
          <w:sz w:val="28"/>
          <w:szCs w:val="28"/>
          <w:lang w:val="uk-UA"/>
        </w:rPr>
        <w:t>інити</w:t>
      </w:r>
      <w:r w:rsidR="00F96ADD" w:rsidRPr="00675164">
        <w:rPr>
          <w:sz w:val="28"/>
          <w:szCs w:val="28"/>
          <w:lang w:val="uk-UA"/>
        </w:rPr>
        <w:t xml:space="preserve"> структуру </w:t>
      </w:r>
      <w:r w:rsidR="00131AB3" w:rsidRPr="00675164">
        <w:rPr>
          <w:sz w:val="28"/>
          <w:szCs w:val="28"/>
          <w:lang w:val="uk-UA"/>
        </w:rPr>
        <w:t>витрат</w:t>
      </w:r>
      <w:r w:rsidR="00F96ADD" w:rsidRPr="00675164">
        <w:rPr>
          <w:sz w:val="28"/>
          <w:szCs w:val="28"/>
          <w:lang w:val="uk-UA"/>
        </w:rPr>
        <w:t xml:space="preserve"> на ЛП, </w:t>
      </w:r>
      <w:r w:rsidR="00131AB3" w:rsidRPr="00675164">
        <w:rPr>
          <w:sz w:val="28"/>
          <w:szCs w:val="28"/>
          <w:lang w:val="uk-UA"/>
        </w:rPr>
        <w:t>які призначались дітям з ХГД в гастроентерологічному відділенні одного із закладів охорони здоров'я (ЗОЗ) м. Харкова, та частоту їх призначень.</w:t>
      </w:r>
    </w:p>
    <w:p w:rsidR="00F96ADD" w:rsidRPr="00675164" w:rsidRDefault="00D908B9" w:rsidP="00675164">
      <w:pPr>
        <w:pStyle w:val="a3"/>
        <w:spacing w:before="0"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  <w:r w:rsidRPr="00675164">
        <w:rPr>
          <w:rFonts w:ascii="Times New Roman" w:hAnsi="Times New Roman"/>
          <w:b/>
          <w:color w:val="auto"/>
          <w:sz w:val="28"/>
          <w:szCs w:val="28"/>
          <w:lang w:val="uk-UA"/>
        </w:rPr>
        <w:t>Матеріали та методи</w:t>
      </w:r>
      <w:r w:rsidR="00272E8A" w:rsidRPr="00675164">
        <w:rPr>
          <w:rFonts w:ascii="Times New Roman" w:hAnsi="Times New Roman"/>
          <w:b/>
          <w:color w:val="auto"/>
          <w:sz w:val="28"/>
          <w:szCs w:val="28"/>
          <w:lang w:val="uk-UA"/>
        </w:rPr>
        <w:t>.</w:t>
      </w:r>
      <w:r w:rsidR="00272E8A" w:rsidRPr="00675164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D02BC5" w:rsidRPr="00675164">
        <w:rPr>
          <w:rFonts w:ascii="Times New Roman" w:hAnsi="Times New Roman"/>
          <w:color w:val="auto"/>
          <w:sz w:val="28"/>
          <w:szCs w:val="28"/>
          <w:lang w:val="uk-UA"/>
        </w:rPr>
        <w:t xml:space="preserve">Для </w:t>
      </w:r>
      <w:r w:rsidR="00131AB3" w:rsidRPr="00675164">
        <w:rPr>
          <w:rFonts w:ascii="Times New Roman" w:hAnsi="Times New Roman"/>
          <w:color w:val="auto"/>
          <w:sz w:val="28"/>
          <w:szCs w:val="28"/>
          <w:lang w:val="uk-UA"/>
        </w:rPr>
        <w:t>досягнення поставленої мети було проаналізовано 90 історій  хвороб пацієнтів віком від 7 до 19 років</w:t>
      </w:r>
      <w:r w:rsidR="00D02BC5" w:rsidRPr="00675164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r w:rsidR="00131AB3" w:rsidRPr="00675164">
        <w:rPr>
          <w:rFonts w:ascii="Times New Roman" w:hAnsi="Times New Roman"/>
          <w:color w:val="auto"/>
          <w:sz w:val="28"/>
          <w:szCs w:val="28"/>
          <w:lang w:val="uk-UA"/>
        </w:rPr>
        <w:t>Тривалість дослідження – 6 місяців (січень - червень 2015 року).</w:t>
      </w:r>
      <w:r w:rsidR="00131AB3" w:rsidRPr="0067516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31AB3" w:rsidRPr="00675164">
        <w:rPr>
          <w:rFonts w:ascii="Times New Roman" w:hAnsi="Times New Roman"/>
          <w:color w:val="auto"/>
          <w:sz w:val="28"/>
          <w:szCs w:val="28"/>
          <w:lang w:val="uk-UA"/>
        </w:rPr>
        <w:t>Аналі</w:t>
      </w:r>
      <w:r w:rsidR="00D02BC5" w:rsidRPr="00675164">
        <w:rPr>
          <w:rFonts w:ascii="Times New Roman" w:hAnsi="Times New Roman"/>
          <w:color w:val="auto"/>
          <w:sz w:val="28"/>
          <w:szCs w:val="28"/>
          <w:lang w:val="uk-UA"/>
        </w:rPr>
        <w:t xml:space="preserve">з </w:t>
      </w:r>
      <w:r w:rsidR="006534C2" w:rsidRPr="00675164">
        <w:rPr>
          <w:rFonts w:ascii="Times New Roman" w:hAnsi="Times New Roman"/>
          <w:color w:val="auto"/>
          <w:sz w:val="28"/>
          <w:szCs w:val="28"/>
          <w:lang w:val="uk-UA"/>
        </w:rPr>
        <w:t>структур</w:t>
      </w:r>
      <w:r w:rsidR="00131AB3" w:rsidRPr="00675164">
        <w:rPr>
          <w:rFonts w:ascii="Times New Roman" w:hAnsi="Times New Roman"/>
          <w:color w:val="auto"/>
          <w:sz w:val="28"/>
          <w:szCs w:val="28"/>
          <w:lang w:val="uk-UA"/>
        </w:rPr>
        <w:t>и витрат на ЛП та частоти їх призначень проводили за допомого</w:t>
      </w:r>
      <w:r w:rsidR="008C2FAC" w:rsidRPr="00675164">
        <w:rPr>
          <w:rFonts w:ascii="Times New Roman" w:hAnsi="Times New Roman"/>
          <w:color w:val="auto"/>
          <w:sz w:val="28"/>
          <w:szCs w:val="28"/>
          <w:lang w:val="uk-UA"/>
        </w:rPr>
        <w:t>ю</w:t>
      </w:r>
      <w:r w:rsidR="00131AB3" w:rsidRPr="00675164">
        <w:rPr>
          <w:rFonts w:ascii="Times New Roman" w:hAnsi="Times New Roman"/>
          <w:color w:val="auto"/>
          <w:sz w:val="28"/>
          <w:szCs w:val="28"/>
          <w:lang w:val="uk-UA"/>
        </w:rPr>
        <w:t xml:space="preserve"> допоміжних клініко-економічних методів </w:t>
      </w:r>
      <w:r w:rsidR="00F96ADD" w:rsidRPr="00675164">
        <w:rPr>
          <w:rFonts w:ascii="Times New Roman" w:hAnsi="Times New Roman"/>
          <w:color w:val="auto"/>
          <w:sz w:val="28"/>
          <w:szCs w:val="28"/>
          <w:lang w:val="uk-UA"/>
        </w:rPr>
        <w:t xml:space="preserve"> – АВС- </w:t>
      </w:r>
      <w:r w:rsidR="00131AB3" w:rsidRPr="00675164">
        <w:rPr>
          <w:rFonts w:ascii="Times New Roman" w:hAnsi="Times New Roman"/>
          <w:color w:val="auto"/>
          <w:sz w:val="28"/>
          <w:szCs w:val="28"/>
          <w:lang w:val="uk-UA"/>
        </w:rPr>
        <w:t>та частотного аналізів</w:t>
      </w:r>
      <w:r w:rsidR="00F96ADD" w:rsidRPr="00675164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="00131AB3" w:rsidRPr="00675164">
        <w:rPr>
          <w:rFonts w:ascii="Times New Roman" w:hAnsi="Times New Roman"/>
          <w:sz w:val="28"/>
          <w:szCs w:val="28"/>
          <w:lang w:val="uk-UA"/>
        </w:rPr>
        <w:t>АВС-аналіз</w:t>
      </w:r>
      <w:proofErr w:type="spellEnd"/>
      <w:r w:rsidR="00131AB3" w:rsidRPr="00675164">
        <w:rPr>
          <w:rFonts w:ascii="Times New Roman" w:hAnsi="Times New Roman"/>
          <w:sz w:val="28"/>
          <w:szCs w:val="28"/>
          <w:lang w:val="uk-UA"/>
        </w:rPr>
        <w:t xml:space="preserve"> передбачає </w:t>
      </w:r>
      <w:proofErr w:type="spellStart"/>
      <w:r w:rsidR="00131AB3" w:rsidRPr="00675164">
        <w:rPr>
          <w:rFonts w:ascii="Times New Roman" w:hAnsi="Times New Roman"/>
          <w:sz w:val="28"/>
          <w:szCs w:val="28"/>
          <w:lang w:val="uk-UA"/>
        </w:rPr>
        <w:t>ранжування</w:t>
      </w:r>
      <w:proofErr w:type="spellEnd"/>
      <w:r w:rsidR="00131AB3" w:rsidRPr="00675164">
        <w:rPr>
          <w:rFonts w:ascii="Times New Roman" w:hAnsi="Times New Roman"/>
          <w:sz w:val="28"/>
          <w:szCs w:val="28"/>
          <w:lang w:val="uk-UA"/>
        </w:rPr>
        <w:t xml:space="preserve"> ЛП в залежності від частки витрат на кожний з них в загальній структурі витрат з виділенням трьох груп:  А – ЛП, на які припадає 80</w:t>
      </w:r>
      <w:r w:rsidR="00025FCD" w:rsidRPr="006751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1AB3" w:rsidRPr="00675164">
        <w:rPr>
          <w:rFonts w:ascii="Times New Roman" w:hAnsi="Times New Roman"/>
          <w:sz w:val="28"/>
          <w:szCs w:val="28"/>
          <w:lang w:val="uk-UA"/>
        </w:rPr>
        <w:t>% витрат, В – ті, що потребують 15</w:t>
      </w:r>
      <w:r w:rsidR="00025FCD" w:rsidRPr="006751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1AB3" w:rsidRPr="00675164">
        <w:rPr>
          <w:rFonts w:ascii="Times New Roman" w:hAnsi="Times New Roman"/>
          <w:sz w:val="28"/>
          <w:szCs w:val="28"/>
          <w:lang w:val="uk-UA"/>
        </w:rPr>
        <w:t>% коштів, С – ті, витрати на які складають 5</w:t>
      </w:r>
      <w:r w:rsidR="00025FCD" w:rsidRPr="006751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1AB3" w:rsidRPr="00675164">
        <w:rPr>
          <w:rFonts w:ascii="Times New Roman" w:hAnsi="Times New Roman"/>
          <w:sz w:val="28"/>
          <w:szCs w:val="28"/>
          <w:lang w:val="uk-UA"/>
        </w:rPr>
        <w:t>% від загальних витрат на всі досліджувані препарати</w:t>
      </w:r>
      <w:r w:rsidR="00F96ADD" w:rsidRPr="00675164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r w:rsidR="00131AB3" w:rsidRPr="00675164">
        <w:rPr>
          <w:rFonts w:ascii="Times New Roman" w:hAnsi="Times New Roman"/>
          <w:sz w:val="28"/>
          <w:szCs w:val="28"/>
          <w:lang w:val="uk-UA"/>
        </w:rPr>
        <w:t xml:space="preserve">Частотний аналіз дозволяє оцінити частоту застосування того чи іншого ЛП при лікуванні пацієнтів з певним захворюванням </w:t>
      </w:r>
      <w:r w:rsidR="00025FCD" w:rsidRPr="00675164">
        <w:rPr>
          <w:rFonts w:ascii="Times New Roman" w:hAnsi="Times New Roman"/>
          <w:sz w:val="28"/>
          <w:szCs w:val="28"/>
          <w:lang w:val="uk-UA"/>
        </w:rPr>
        <w:t>у</w:t>
      </w:r>
      <w:r w:rsidR="00131AB3" w:rsidRPr="00675164">
        <w:rPr>
          <w:rFonts w:ascii="Times New Roman" w:hAnsi="Times New Roman"/>
          <w:sz w:val="28"/>
          <w:szCs w:val="28"/>
          <w:lang w:val="uk-UA"/>
        </w:rPr>
        <w:t xml:space="preserve"> ЗОЗ</w:t>
      </w:r>
      <w:r w:rsidR="00131AB3" w:rsidRPr="00675164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F533AF" w:rsidRPr="00675164">
        <w:rPr>
          <w:rFonts w:ascii="Times New Roman" w:hAnsi="Times New Roman"/>
          <w:color w:val="auto"/>
          <w:sz w:val="28"/>
          <w:szCs w:val="28"/>
          <w:lang w:val="uk-UA"/>
        </w:rPr>
        <w:sym w:font="Symbol" w:char="F05B"/>
      </w:r>
      <w:r w:rsidR="00C332A6" w:rsidRPr="00675164">
        <w:rPr>
          <w:rFonts w:ascii="Times New Roman" w:hAnsi="Times New Roman"/>
          <w:color w:val="auto"/>
          <w:sz w:val="28"/>
          <w:szCs w:val="28"/>
          <w:lang w:val="uk-UA"/>
        </w:rPr>
        <w:t>6,7</w:t>
      </w:r>
      <w:r w:rsidR="00F533AF" w:rsidRPr="00675164">
        <w:rPr>
          <w:rFonts w:ascii="Times New Roman" w:hAnsi="Times New Roman"/>
          <w:color w:val="auto"/>
          <w:sz w:val="28"/>
          <w:szCs w:val="28"/>
          <w:lang w:val="uk-UA"/>
        </w:rPr>
        <w:sym w:font="Symbol" w:char="F05D"/>
      </w:r>
      <w:r w:rsidR="00F533AF" w:rsidRPr="00675164">
        <w:rPr>
          <w:rFonts w:ascii="Times New Roman" w:hAnsi="Times New Roman"/>
          <w:color w:val="auto"/>
          <w:sz w:val="28"/>
          <w:szCs w:val="28"/>
          <w:lang w:val="uk-UA"/>
        </w:rPr>
        <w:t>.</w:t>
      </w:r>
      <w:r w:rsidR="00C86931" w:rsidRPr="00675164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F533AF" w:rsidRPr="00675164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C86931" w:rsidRPr="00675164">
        <w:rPr>
          <w:rFonts w:ascii="Times New Roman" w:hAnsi="Times New Roman"/>
          <w:sz w:val="28"/>
          <w:szCs w:val="28"/>
          <w:lang w:val="uk-UA"/>
        </w:rPr>
        <w:t xml:space="preserve">Для визначення вартості на курс лікування ЛП, які призначались пацієнтам дитячого віку з ХГД, використовували </w:t>
      </w:r>
      <w:proofErr w:type="spellStart"/>
      <w:r w:rsidR="00C86931" w:rsidRPr="00675164">
        <w:rPr>
          <w:rFonts w:ascii="Times New Roman" w:hAnsi="Times New Roman"/>
          <w:sz w:val="28"/>
          <w:szCs w:val="28"/>
          <w:lang w:val="uk-UA"/>
        </w:rPr>
        <w:t>середньовиважену</w:t>
      </w:r>
      <w:proofErr w:type="spellEnd"/>
      <w:r w:rsidR="00C86931" w:rsidRPr="00675164">
        <w:rPr>
          <w:rFonts w:ascii="Times New Roman" w:hAnsi="Times New Roman"/>
          <w:sz w:val="28"/>
          <w:szCs w:val="28"/>
          <w:lang w:val="uk-UA"/>
        </w:rPr>
        <w:t xml:space="preserve"> ціну на них у досліджуваний період в аптечній мережі України</w:t>
      </w:r>
      <w:r w:rsidR="00C86931" w:rsidRPr="00675164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D02BC5" w:rsidRPr="00675164">
        <w:rPr>
          <w:rFonts w:ascii="Times New Roman" w:hAnsi="Times New Roman"/>
          <w:color w:val="auto"/>
          <w:sz w:val="28"/>
          <w:szCs w:val="28"/>
          <w:lang w:val="uk-UA"/>
        </w:rPr>
        <w:sym w:font="Symbol" w:char="F05B"/>
      </w:r>
      <w:r w:rsidR="00C332A6" w:rsidRPr="00675164">
        <w:rPr>
          <w:rFonts w:ascii="Times New Roman" w:hAnsi="Times New Roman"/>
          <w:color w:val="auto"/>
          <w:sz w:val="28"/>
          <w:szCs w:val="28"/>
        </w:rPr>
        <w:t>8</w:t>
      </w:r>
      <w:r w:rsidR="00D02BC5" w:rsidRPr="00675164">
        <w:rPr>
          <w:rFonts w:ascii="Times New Roman" w:hAnsi="Times New Roman"/>
          <w:color w:val="auto"/>
          <w:sz w:val="28"/>
          <w:szCs w:val="28"/>
          <w:lang w:val="uk-UA"/>
        </w:rPr>
        <w:sym w:font="Symbol" w:char="F05D"/>
      </w:r>
      <w:r w:rsidR="00D02BC5" w:rsidRPr="00675164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</w:p>
    <w:p w:rsidR="004276B7" w:rsidRPr="00675164" w:rsidRDefault="00D908B9" w:rsidP="00675164">
      <w:pPr>
        <w:spacing w:line="360" w:lineRule="auto"/>
        <w:ind w:firstLine="720"/>
        <w:jc w:val="both"/>
        <w:rPr>
          <w:bCs/>
          <w:sz w:val="28"/>
          <w:szCs w:val="28"/>
          <w:lang w:val="uk-UA"/>
        </w:rPr>
      </w:pPr>
      <w:r w:rsidRPr="00675164">
        <w:rPr>
          <w:b/>
          <w:sz w:val="28"/>
          <w:szCs w:val="28"/>
          <w:lang w:val="uk-UA"/>
        </w:rPr>
        <w:lastRenderedPageBreak/>
        <w:t>Результати та їх обговорення.</w:t>
      </w:r>
      <w:r w:rsidRPr="00675164">
        <w:rPr>
          <w:sz w:val="28"/>
          <w:szCs w:val="28"/>
          <w:lang w:val="uk-UA"/>
        </w:rPr>
        <w:t xml:space="preserve"> </w:t>
      </w:r>
      <w:r w:rsidR="004276B7" w:rsidRPr="00675164">
        <w:rPr>
          <w:sz w:val="28"/>
          <w:szCs w:val="28"/>
          <w:lang w:val="uk-UA"/>
        </w:rPr>
        <w:t>За резу</w:t>
      </w:r>
      <w:r w:rsidR="008B075E" w:rsidRPr="00675164">
        <w:rPr>
          <w:sz w:val="28"/>
          <w:szCs w:val="28"/>
          <w:lang w:val="uk-UA"/>
        </w:rPr>
        <w:t>льтатами аналізу історій хвороб</w:t>
      </w:r>
      <w:r w:rsidR="004276B7" w:rsidRPr="00675164">
        <w:rPr>
          <w:sz w:val="28"/>
          <w:szCs w:val="28"/>
          <w:lang w:val="uk-UA"/>
        </w:rPr>
        <w:t xml:space="preserve"> пацієнтів дитячого віку з ХГД було визначено 40</w:t>
      </w:r>
      <w:r w:rsidR="00BD5EE2" w:rsidRPr="00675164">
        <w:rPr>
          <w:sz w:val="28"/>
          <w:szCs w:val="28"/>
          <w:lang w:val="uk-UA"/>
        </w:rPr>
        <w:t xml:space="preserve"> торгов</w:t>
      </w:r>
      <w:r w:rsidR="004276B7" w:rsidRPr="00675164">
        <w:rPr>
          <w:sz w:val="28"/>
          <w:szCs w:val="28"/>
          <w:lang w:val="uk-UA"/>
        </w:rPr>
        <w:t xml:space="preserve">их найменувань </w:t>
      </w:r>
      <w:r w:rsidR="00BD5EE2" w:rsidRPr="00675164">
        <w:rPr>
          <w:sz w:val="28"/>
          <w:szCs w:val="28"/>
          <w:lang w:val="uk-UA"/>
        </w:rPr>
        <w:t>(ТН) ЛП (3</w:t>
      </w:r>
      <w:r w:rsidR="004276B7" w:rsidRPr="00675164">
        <w:rPr>
          <w:sz w:val="28"/>
          <w:szCs w:val="28"/>
          <w:lang w:val="uk-UA"/>
        </w:rPr>
        <w:t>1</w:t>
      </w:r>
      <w:r w:rsidR="00BD5EE2" w:rsidRPr="00675164">
        <w:rPr>
          <w:sz w:val="28"/>
          <w:szCs w:val="28"/>
          <w:lang w:val="uk-UA"/>
        </w:rPr>
        <w:t xml:space="preserve"> </w:t>
      </w:r>
      <w:r w:rsidR="004276B7" w:rsidRPr="00675164">
        <w:rPr>
          <w:sz w:val="28"/>
          <w:szCs w:val="28"/>
          <w:lang w:val="uk-UA"/>
        </w:rPr>
        <w:t xml:space="preserve">міжнародна непатентована назва </w:t>
      </w:r>
      <w:r w:rsidR="00BA0D39" w:rsidRPr="00675164">
        <w:rPr>
          <w:sz w:val="28"/>
          <w:szCs w:val="28"/>
          <w:lang w:val="uk-UA"/>
        </w:rPr>
        <w:t>(МНН)</w:t>
      </w:r>
      <w:r w:rsidR="00FA3262" w:rsidRPr="00675164">
        <w:rPr>
          <w:sz w:val="28"/>
          <w:szCs w:val="28"/>
          <w:lang w:val="uk-UA"/>
        </w:rPr>
        <w:t>)</w:t>
      </w:r>
      <w:r w:rsidR="00BD5EE2" w:rsidRPr="00675164">
        <w:rPr>
          <w:sz w:val="28"/>
          <w:szCs w:val="28"/>
          <w:lang w:val="uk-UA"/>
        </w:rPr>
        <w:t xml:space="preserve"> з </w:t>
      </w:r>
      <w:r w:rsidR="004276B7" w:rsidRPr="00675164">
        <w:rPr>
          <w:sz w:val="28"/>
          <w:szCs w:val="28"/>
          <w:lang w:val="uk-UA"/>
        </w:rPr>
        <w:t>17</w:t>
      </w:r>
      <w:r w:rsidR="00BD5EE2" w:rsidRPr="00675164">
        <w:rPr>
          <w:sz w:val="28"/>
          <w:szCs w:val="28"/>
          <w:lang w:val="uk-UA"/>
        </w:rPr>
        <w:t xml:space="preserve"> фармаколог</w:t>
      </w:r>
      <w:r w:rsidR="004276B7" w:rsidRPr="00675164">
        <w:rPr>
          <w:sz w:val="28"/>
          <w:szCs w:val="28"/>
          <w:lang w:val="uk-UA"/>
        </w:rPr>
        <w:t>ічних груп</w:t>
      </w:r>
      <w:r w:rsidR="005629C4" w:rsidRPr="00675164">
        <w:rPr>
          <w:sz w:val="28"/>
          <w:szCs w:val="28"/>
          <w:lang w:val="uk-UA"/>
        </w:rPr>
        <w:t>.</w:t>
      </w:r>
      <w:r w:rsidR="00BD5EE2" w:rsidRPr="00675164">
        <w:rPr>
          <w:sz w:val="28"/>
          <w:szCs w:val="28"/>
          <w:lang w:val="uk-UA"/>
        </w:rPr>
        <w:t xml:space="preserve"> </w:t>
      </w:r>
      <w:r w:rsidR="004276B7" w:rsidRPr="00675164">
        <w:rPr>
          <w:sz w:val="28"/>
          <w:szCs w:val="28"/>
          <w:lang w:val="uk-UA"/>
        </w:rPr>
        <w:t xml:space="preserve">Співвідношення вітчизняних та імпортних ЛП – 1,2:1. В досліджуваних історіях хвороби, окрім ХГД, були зазначені також наступні діагнози: </w:t>
      </w:r>
      <w:proofErr w:type="spellStart"/>
      <w:r w:rsidR="00D85743" w:rsidRPr="00675164">
        <w:rPr>
          <w:bCs/>
          <w:iCs/>
          <w:sz w:val="28"/>
          <w:szCs w:val="28"/>
          <w:lang w:val="uk-UA"/>
        </w:rPr>
        <w:t>дискінезія</w:t>
      </w:r>
      <w:proofErr w:type="spellEnd"/>
      <w:r w:rsidR="00D85743" w:rsidRPr="00675164">
        <w:rPr>
          <w:bCs/>
          <w:iCs/>
          <w:sz w:val="28"/>
          <w:szCs w:val="28"/>
          <w:lang w:val="uk-UA"/>
        </w:rPr>
        <w:t xml:space="preserve"> жовчовивідних шляхів</w:t>
      </w:r>
      <w:r w:rsidR="004276B7" w:rsidRPr="00675164">
        <w:rPr>
          <w:bCs/>
          <w:sz w:val="28"/>
          <w:szCs w:val="28"/>
          <w:lang w:val="uk-UA"/>
        </w:rPr>
        <w:t xml:space="preserve"> (у 33</w:t>
      </w:r>
      <w:r w:rsidR="00671F4F" w:rsidRPr="00675164">
        <w:rPr>
          <w:bCs/>
          <w:sz w:val="28"/>
          <w:szCs w:val="28"/>
          <w:lang w:val="uk-UA"/>
        </w:rPr>
        <w:t xml:space="preserve"> </w:t>
      </w:r>
      <w:r w:rsidR="004276B7" w:rsidRPr="00675164">
        <w:rPr>
          <w:bCs/>
          <w:sz w:val="28"/>
          <w:szCs w:val="28"/>
          <w:lang w:val="uk-UA"/>
        </w:rPr>
        <w:t xml:space="preserve">% хворих), </w:t>
      </w:r>
      <w:r w:rsidR="00D85743" w:rsidRPr="00675164">
        <w:rPr>
          <w:bCs/>
          <w:iCs/>
          <w:sz w:val="28"/>
          <w:szCs w:val="28"/>
          <w:lang w:val="uk-UA"/>
        </w:rPr>
        <w:t>хронічний холецистит</w:t>
      </w:r>
      <w:r w:rsidR="004276B7" w:rsidRPr="00675164">
        <w:rPr>
          <w:bCs/>
          <w:sz w:val="28"/>
          <w:szCs w:val="28"/>
          <w:lang w:val="uk-UA"/>
        </w:rPr>
        <w:t xml:space="preserve"> (у 20</w:t>
      </w:r>
      <w:r w:rsidR="00671F4F" w:rsidRPr="00675164">
        <w:rPr>
          <w:bCs/>
          <w:sz w:val="28"/>
          <w:szCs w:val="28"/>
          <w:lang w:val="uk-UA"/>
        </w:rPr>
        <w:t xml:space="preserve"> </w:t>
      </w:r>
      <w:r w:rsidR="004276B7" w:rsidRPr="00675164">
        <w:rPr>
          <w:bCs/>
          <w:sz w:val="28"/>
          <w:szCs w:val="28"/>
          <w:lang w:val="uk-UA"/>
        </w:rPr>
        <w:t xml:space="preserve">%), </w:t>
      </w:r>
      <w:r w:rsidR="00D85743" w:rsidRPr="00675164">
        <w:rPr>
          <w:bCs/>
          <w:iCs/>
          <w:sz w:val="28"/>
          <w:szCs w:val="28"/>
          <w:lang w:val="uk-UA"/>
        </w:rPr>
        <w:t>хронічний панкреатит</w:t>
      </w:r>
      <w:r w:rsidR="004276B7" w:rsidRPr="00675164">
        <w:rPr>
          <w:bCs/>
          <w:sz w:val="28"/>
          <w:szCs w:val="28"/>
          <w:lang w:val="uk-UA"/>
        </w:rPr>
        <w:t xml:space="preserve"> (у 13</w:t>
      </w:r>
      <w:r w:rsidR="00671F4F" w:rsidRPr="00675164">
        <w:rPr>
          <w:bCs/>
          <w:sz w:val="28"/>
          <w:szCs w:val="28"/>
          <w:lang w:val="uk-UA"/>
        </w:rPr>
        <w:t xml:space="preserve"> </w:t>
      </w:r>
      <w:r w:rsidR="004276B7" w:rsidRPr="00675164">
        <w:rPr>
          <w:bCs/>
          <w:sz w:val="28"/>
          <w:szCs w:val="28"/>
          <w:lang w:val="uk-UA"/>
        </w:rPr>
        <w:t xml:space="preserve">%), </w:t>
      </w:r>
      <w:r w:rsidR="00D85743" w:rsidRPr="00675164">
        <w:rPr>
          <w:bCs/>
          <w:iCs/>
          <w:sz w:val="28"/>
          <w:szCs w:val="28"/>
          <w:lang w:val="uk-UA"/>
        </w:rPr>
        <w:t>синдром подразненого кишечник</w:t>
      </w:r>
      <w:r w:rsidR="00F16859">
        <w:rPr>
          <w:bCs/>
          <w:iCs/>
          <w:sz w:val="28"/>
          <w:szCs w:val="28"/>
          <w:lang w:val="uk-UA"/>
        </w:rPr>
        <w:t>у</w:t>
      </w:r>
      <w:r w:rsidR="004276B7" w:rsidRPr="00675164">
        <w:rPr>
          <w:bCs/>
          <w:sz w:val="28"/>
          <w:szCs w:val="28"/>
          <w:lang w:val="uk-UA"/>
        </w:rPr>
        <w:t xml:space="preserve"> (у 13</w:t>
      </w:r>
      <w:r w:rsidR="00671F4F" w:rsidRPr="00675164">
        <w:rPr>
          <w:bCs/>
          <w:sz w:val="28"/>
          <w:szCs w:val="28"/>
          <w:lang w:val="uk-UA"/>
        </w:rPr>
        <w:t xml:space="preserve"> </w:t>
      </w:r>
      <w:r w:rsidR="004276B7" w:rsidRPr="00675164">
        <w:rPr>
          <w:bCs/>
          <w:sz w:val="28"/>
          <w:szCs w:val="28"/>
          <w:lang w:val="uk-UA"/>
        </w:rPr>
        <w:t>%), аскаридоз (у 3</w:t>
      </w:r>
      <w:r w:rsidR="00671F4F" w:rsidRPr="00675164">
        <w:rPr>
          <w:bCs/>
          <w:sz w:val="28"/>
          <w:szCs w:val="28"/>
          <w:lang w:val="uk-UA"/>
        </w:rPr>
        <w:t xml:space="preserve"> </w:t>
      </w:r>
      <w:r w:rsidR="004276B7" w:rsidRPr="00675164">
        <w:rPr>
          <w:bCs/>
          <w:sz w:val="28"/>
          <w:szCs w:val="28"/>
          <w:lang w:val="uk-UA"/>
        </w:rPr>
        <w:t>%).  Середній термін перебування пацієнта в стаціонарі – 13 днів.</w:t>
      </w:r>
    </w:p>
    <w:p w:rsidR="00CC29BE" w:rsidRPr="00675164" w:rsidRDefault="00346AC1" w:rsidP="0067516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75164">
        <w:rPr>
          <w:sz w:val="28"/>
          <w:szCs w:val="28"/>
          <w:lang w:val="uk-UA"/>
        </w:rPr>
        <w:t xml:space="preserve">Протягом досліджуваного періоду в даному відділенні зареєстровано 411 призначень ЛП пацієнтам дитячого віку з ХГД, що складає в середньому близько </w:t>
      </w:r>
      <w:r w:rsidR="00DA0094" w:rsidRPr="00675164">
        <w:rPr>
          <w:rStyle w:val="hps"/>
          <w:sz w:val="28"/>
          <w:szCs w:val="28"/>
          <w:lang w:val="uk-UA"/>
        </w:rPr>
        <w:t>4,6</w:t>
      </w:r>
      <w:r w:rsidRPr="00675164">
        <w:rPr>
          <w:rStyle w:val="hps"/>
          <w:sz w:val="28"/>
          <w:szCs w:val="28"/>
          <w:lang w:val="uk-UA"/>
        </w:rPr>
        <w:t xml:space="preserve"> ЛП </w:t>
      </w:r>
      <w:r w:rsidRPr="00675164">
        <w:rPr>
          <w:sz w:val="28"/>
          <w:szCs w:val="28"/>
          <w:lang w:val="uk-UA"/>
        </w:rPr>
        <w:t xml:space="preserve">на 1 хворого і вказує на </w:t>
      </w:r>
      <w:r w:rsidR="00DA0094" w:rsidRPr="00675164">
        <w:rPr>
          <w:sz w:val="28"/>
          <w:szCs w:val="28"/>
          <w:lang w:val="uk-UA"/>
        </w:rPr>
        <w:t>тенденцію до поліпрагмазії</w:t>
      </w:r>
      <w:r w:rsidRPr="00675164">
        <w:rPr>
          <w:bCs/>
          <w:iCs/>
          <w:sz w:val="28"/>
          <w:szCs w:val="28"/>
          <w:lang w:val="uk-UA"/>
        </w:rPr>
        <w:t>.</w:t>
      </w:r>
      <w:r w:rsidRPr="00675164">
        <w:rPr>
          <w:bCs/>
          <w:sz w:val="28"/>
          <w:szCs w:val="28"/>
          <w:lang w:val="uk-UA"/>
        </w:rPr>
        <w:t xml:space="preserve"> </w:t>
      </w:r>
      <w:r w:rsidRPr="00675164">
        <w:rPr>
          <w:sz w:val="28"/>
          <w:szCs w:val="28"/>
          <w:lang w:val="uk-UA"/>
        </w:rPr>
        <w:t>Домінуючі напрямки терапії хворих з ХГД у даному відділенні –  патогенетична терапія основного захворювання</w:t>
      </w:r>
      <w:r w:rsidR="0035047E" w:rsidRPr="00675164">
        <w:rPr>
          <w:sz w:val="28"/>
          <w:szCs w:val="28"/>
          <w:lang w:val="uk-UA"/>
        </w:rPr>
        <w:t xml:space="preserve"> (ХГД)</w:t>
      </w:r>
      <w:r w:rsidRPr="00675164">
        <w:rPr>
          <w:sz w:val="28"/>
          <w:szCs w:val="28"/>
          <w:lang w:val="uk-UA"/>
        </w:rPr>
        <w:t xml:space="preserve">, а також супутньої гастроентерологічної патології. </w:t>
      </w:r>
      <w:r w:rsidR="00554047" w:rsidRPr="00675164">
        <w:rPr>
          <w:sz w:val="28"/>
          <w:szCs w:val="28"/>
          <w:lang w:val="uk-UA"/>
        </w:rPr>
        <w:t xml:space="preserve">Так, найбільша частота призначень встановлена для </w:t>
      </w:r>
      <w:proofErr w:type="spellStart"/>
      <w:r w:rsidR="00554047" w:rsidRPr="00675164">
        <w:rPr>
          <w:sz w:val="28"/>
          <w:szCs w:val="28"/>
          <w:lang w:val="uk-UA"/>
        </w:rPr>
        <w:t>антацидів</w:t>
      </w:r>
      <w:proofErr w:type="spellEnd"/>
      <w:r w:rsidR="00554047" w:rsidRPr="00675164">
        <w:rPr>
          <w:sz w:val="28"/>
          <w:szCs w:val="28"/>
          <w:lang w:val="uk-UA"/>
        </w:rPr>
        <w:t xml:space="preserve"> (4 МНН, 5 ТН, 16,05 % від загального числа призначень), препаратів групи «Блокатори Н</w:t>
      </w:r>
      <w:r w:rsidR="00554047" w:rsidRPr="00675164">
        <w:rPr>
          <w:sz w:val="28"/>
          <w:szCs w:val="28"/>
          <w:vertAlign w:val="subscript"/>
          <w:lang w:val="uk-UA"/>
        </w:rPr>
        <w:t>2</w:t>
      </w:r>
      <w:r w:rsidR="00554047" w:rsidRPr="00675164">
        <w:rPr>
          <w:sz w:val="28"/>
          <w:szCs w:val="28"/>
          <w:lang w:val="uk-UA"/>
        </w:rPr>
        <w:t>-гістамінових рецепторів» (2 МНН, 3 ТН, 12,41</w:t>
      </w:r>
      <w:r w:rsidR="00BA6A4B">
        <w:rPr>
          <w:sz w:val="28"/>
          <w:szCs w:val="28"/>
          <w:lang w:val="uk-UA"/>
        </w:rPr>
        <w:t xml:space="preserve"> </w:t>
      </w:r>
      <w:r w:rsidR="00554047" w:rsidRPr="00675164">
        <w:rPr>
          <w:sz w:val="28"/>
          <w:szCs w:val="28"/>
          <w:lang w:val="uk-UA"/>
        </w:rPr>
        <w:t>% призначень), жовчогінних засобів (1 МНН, 3 ТН, 11,68</w:t>
      </w:r>
      <w:r w:rsidR="00BA6A4B">
        <w:rPr>
          <w:sz w:val="28"/>
          <w:szCs w:val="28"/>
          <w:lang w:val="uk-UA"/>
        </w:rPr>
        <w:t xml:space="preserve"> </w:t>
      </w:r>
      <w:r w:rsidR="00554047" w:rsidRPr="00675164">
        <w:rPr>
          <w:sz w:val="28"/>
          <w:szCs w:val="28"/>
          <w:lang w:val="uk-UA"/>
        </w:rPr>
        <w:t xml:space="preserve">% призначень).  </w:t>
      </w:r>
      <w:r w:rsidR="00FF7C4B" w:rsidRPr="00675164">
        <w:rPr>
          <w:sz w:val="28"/>
          <w:szCs w:val="28"/>
          <w:lang w:val="uk-UA"/>
        </w:rPr>
        <w:t>Високу частоту призначень жовчогінних засобів можна пояснити тим, що патологія жовчовивідних шляхів достатньо часто супроводжує ХГД у дітей [</w:t>
      </w:r>
      <w:r w:rsidR="0035047E" w:rsidRPr="00675164">
        <w:rPr>
          <w:sz w:val="28"/>
          <w:szCs w:val="28"/>
          <w:lang w:val="uk-UA"/>
        </w:rPr>
        <w:t>9</w:t>
      </w:r>
      <w:r w:rsidR="00FF7C4B" w:rsidRPr="00675164">
        <w:rPr>
          <w:sz w:val="28"/>
          <w:szCs w:val="28"/>
          <w:lang w:val="uk-UA"/>
        </w:rPr>
        <w:t xml:space="preserve">] і в даному гастроентерологічному відділенні зафіксована у 53 % хворих. </w:t>
      </w:r>
      <w:r w:rsidR="00186D85" w:rsidRPr="00675164">
        <w:rPr>
          <w:sz w:val="28"/>
          <w:szCs w:val="28"/>
          <w:lang w:val="uk-UA"/>
        </w:rPr>
        <w:t>Результати частотного аналізу за МНН показали, що н</w:t>
      </w:r>
      <w:r w:rsidR="00B00B0B" w:rsidRPr="00675164">
        <w:rPr>
          <w:sz w:val="28"/>
          <w:szCs w:val="28"/>
          <w:lang w:val="uk-UA"/>
        </w:rPr>
        <w:t xml:space="preserve">айбільшу однакову кількість призначень </w:t>
      </w:r>
      <w:r w:rsidR="00325A7F" w:rsidRPr="00675164">
        <w:rPr>
          <w:sz w:val="28"/>
          <w:szCs w:val="28"/>
          <w:lang w:val="uk-UA"/>
        </w:rPr>
        <w:t xml:space="preserve">– 48 </w:t>
      </w:r>
      <w:r w:rsidR="00B00B0B" w:rsidRPr="00675164">
        <w:rPr>
          <w:sz w:val="28"/>
          <w:szCs w:val="28"/>
          <w:lang w:val="uk-UA"/>
        </w:rPr>
        <w:t>(майже половині всіх хворих, 11,68</w:t>
      </w:r>
      <w:r w:rsidR="00BA6A4B">
        <w:rPr>
          <w:sz w:val="28"/>
          <w:szCs w:val="28"/>
          <w:lang w:val="uk-UA"/>
        </w:rPr>
        <w:t xml:space="preserve"> </w:t>
      </w:r>
      <w:r w:rsidR="00B00B0B" w:rsidRPr="00675164">
        <w:rPr>
          <w:sz w:val="28"/>
          <w:szCs w:val="28"/>
          <w:lang w:val="uk-UA"/>
        </w:rPr>
        <w:t xml:space="preserve">% від </w:t>
      </w:r>
      <w:r w:rsidR="00325A7F" w:rsidRPr="00675164">
        <w:rPr>
          <w:sz w:val="28"/>
          <w:szCs w:val="28"/>
          <w:lang w:val="uk-UA"/>
        </w:rPr>
        <w:t xml:space="preserve">загальної кількості призначень), </w:t>
      </w:r>
      <w:r w:rsidR="00B00B0B" w:rsidRPr="00675164">
        <w:rPr>
          <w:sz w:val="28"/>
          <w:szCs w:val="28"/>
          <w:lang w:val="uk-UA"/>
        </w:rPr>
        <w:t>мали представники груп «Блокатори Н</w:t>
      </w:r>
      <w:r w:rsidR="00B00B0B" w:rsidRPr="00675164">
        <w:rPr>
          <w:sz w:val="28"/>
          <w:szCs w:val="28"/>
          <w:vertAlign w:val="subscript"/>
          <w:lang w:val="uk-UA"/>
        </w:rPr>
        <w:t>2</w:t>
      </w:r>
      <w:r w:rsidR="00B00B0B" w:rsidRPr="00675164">
        <w:rPr>
          <w:sz w:val="28"/>
          <w:szCs w:val="28"/>
          <w:lang w:val="uk-UA"/>
        </w:rPr>
        <w:t>-гістамінових рецепторів»</w:t>
      </w:r>
      <w:r w:rsidR="003E5749" w:rsidRPr="00675164">
        <w:rPr>
          <w:sz w:val="28"/>
          <w:szCs w:val="28"/>
          <w:lang w:val="uk-UA"/>
        </w:rPr>
        <w:t xml:space="preserve"> (</w:t>
      </w:r>
      <w:proofErr w:type="spellStart"/>
      <w:r w:rsidR="00B00B0B" w:rsidRPr="00675164">
        <w:rPr>
          <w:sz w:val="28"/>
          <w:szCs w:val="28"/>
          <w:lang w:val="uk-UA"/>
        </w:rPr>
        <w:t>фамотидин</w:t>
      </w:r>
      <w:proofErr w:type="spellEnd"/>
      <w:r w:rsidR="003E5749" w:rsidRPr="00675164">
        <w:rPr>
          <w:sz w:val="28"/>
          <w:szCs w:val="28"/>
          <w:lang w:val="uk-UA"/>
        </w:rPr>
        <w:t xml:space="preserve">, </w:t>
      </w:r>
      <w:r w:rsidR="00B00B0B" w:rsidRPr="00675164">
        <w:rPr>
          <w:sz w:val="28"/>
          <w:szCs w:val="28"/>
          <w:lang w:val="uk-UA"/>
        </w:rPr>
        <w:t xml:space="preserve">2 ТН) та «Жовчогінні засоби» </w:t>
      </w:r>
      <w:r w:rsidR="003E5749" w:rsidRPr="00675164">
        <w:rPr>
          <w:sz w:val="28"/>
          <w:szCs w:val="28"/>
          <w:lang w:val="uk-UA"/>
        </w:rPr>
        <w:t>(</w:t>
      </w:r>
      <w:r w:rsidR="00B00B0B" w:rsidRPr="00675164">
        <w:rPr>
          <w:sz w:val="28"/>
          <w:szCs w:val="28"/>
          <w:lang w:val="uk-UA"/>
        </w:rPr>
        <w:t xml:space="preserve">сухий водний екстракт листя </w:t>
      </w:r>
      <w:r w:rsidR="003E5749" w:rsidRPr="00675164">
        <w:rPr>
          <w:sz w:val="28"/>
          <w:szCs w:val="28"/>
          <w:lang w:val="uk-UA"/>
        </w:rPr>
        <w:t xml:space="preserve">артишоку польового, </w:t>
      </w:r>
      <w:r w:rsidR="00B00B0B" w:rsidRPr="00675164">
        <w:rPr>
          <w:sz w:val="28"/>
          <w:szCs w:val="28"/>
          <w:lang w:val="uk-UA"/>
        </w:rPr>
        <w:t>3 ТН).  Їх ТН</w:t>
      </w:r>
      <w:r w:rsidR="00847FAC" w:rsidRPr="00675164">
        <w:rPr>
          <w:sz w:val="28"/>
          <w:szCs w:val="28"/>
          <w:lang w:val="uk-UA"/>
        </w:rPr>
        <w:t xml:space="preserve"> (</w:t>
      </w:r>
      <w:r w:rsidR="003E12D8" w:rsidRPr="00675164">
        <w:rPr>
          <w:sz w:val="28"/>
          <w:szCs w:val="28"/>
          <w:lang w:val="uk-UA"/>
        </w:rPr>
        <w:t xml:space="preserve">відповідно, </w:t>
      </w:r>
      <w:r w:rsidR="00847FAC" w:rsidRPr="00675164">
        <w:rPr>
          <w:sz w:val="28"/>
          <w:szCs w:val="28"/>
          <w:lang w:val="uk-UA"/>
        </w:rPr>
        <w:t>«</w:t>
      </w:r>
      <w:proofErr w:type="spellStart"/>
      <w:r w:rsidR="00847FAC" w:rsidRPr="00675164">
        <w:rPr>
          <w:sz w:val="28"/>
          <w:szCs w:val="28"/>
          <w:lang w:val="uk-UA"/>
        </w:rPr>
        <w:t>Фамотидин</w:t>
      </w:r>
      <w:proofErr w:type="spellEnd"/>
      <w:r w:rsidR="00847FAC" w:rsidRPr="00675164">
        <w:rPr>
          <w:sz w:val="28"/>
          <w:szCs w:val="28"/>
          <w:lang w:val="uk-UA"/>
        </w:rPr>
        <w:t>»</w:t>
      </w:r>
      <w:r w:rsidR="005D1460" w:rsidRPr="00675164">
        <w:rPr>
          <w:sz w:val="28"/>
          <w:szCs w:val="28"/>
          <w:lang w:val="uk-UA"/>
        </w:rPr>
        <w:t xml:space="preserve"> та </w:t>
      </w:r>
      <w:r w:rsidR="00847FAC" w:rsidRPr="00675164">
        <w:rPr>
          <w:sz w:val="28"/>
          <w:szCs w:val="28"/>
          <w:lang w:val="uk-UA"/>
        </w:rPr>
        <w:t>«</w:t>
      </w:r>
      <w:proofErr w:type="spellStart"/>
      <w:r w:rsidR="00847FAC" w:rsidRPr="00675164">
        <w:rPr>
          <w:sz w:val="28"/>
          <w:szCs w:val="28"/>
          <w:lang w:val="uk-UA"/>
        </w:rPr>
        <w:t>Артіхол</w:t>
      </w:r>
      <w:proofErr w:type="spellEnd"/>
      <w:r w:rsidR="00847FAC" w:rsidRPr="00675164">
        <w:rPr>
          <w:sz w:val="28"/>
          <w:szCs w:val="28"/>
          <w:lang w:val="uk-UA"/>
        </w:rPr>
        <w:t>» (в двох формах випуску)</w:t>
      </w:r>
      <w:r w:rsidR="00B15F27" w:rsidRPr="00675164">
        <w:rPr>
          <w:sz w:val="28"/>
          <w:szCs w:val="28"/>
          <w:lang w:val="uk-UA"/>
        </w:rPr>
        <w:t>)</w:t>
      </w:r>
      <w:r w:rsidR="00847FAC" w:rsidRPr="00675164">
        <w:rPr>
          <w:sz w:val="28"/>
          <w:szCs w:val="28"/>
          <w:lang w:val="uk-UA"/>
        </w:rPr>
        <w:t xml:space="preserve"> </w:t>
      </w:r>
      <w:r w:rsidR="00B00B0B" w:rsidRPr="00675164">
        <w:rPr>
          <w:sz w:val="28"/>
          <w:szCs w:val="28"/>
          <w:lang w:val="uk-UA"/>
        </w:rPr>
        <w:t xml:space="preserve">були </w:t>
      </w:r>
      <w:r w:rsidR="005D1460" w:rsidRPr="00675164">
        <w:rPr>
          <w:sz w:val="28"/>
          <w:szCs w:val="28"/>
          <w:lang w:val="uk-UA"/>
        </w:rPr>
        <w:t>одними з препаратів-</w:t>
      </w:r>
      <w:r w:rsidR="00B00B0B" w:rsidRPr="00675164">
        <w:rPr>
          <w:sz w:val="28"/>
          <w:szCs w:val="28"/>
          <w:lang w:val="uk-UA"/>
        </w:rPr>
        <w:t>лідер</w:t>
      </w:r>
      <w:r w:rsidR="005D1460" w:rsidRPr="00675164">
        <w:rPr>
          <w:sz w:val="28"/>
          <w:szCs w:val="28"/>
          <w:lang w:val="uk-UA"/>
        </w:rPr>
        <w:t>ів</w:t>
      </w:r>
      <w:r w:rsidR="00B00B0B" w:rsidRPr="00675164">
        <w:rPr>
          <w:sz w:val="28"/>
          <w:szCs w:val="28"/>
          <w:lang w:val="uk-UA"/>
        </w:rPr>
        <w:t xml:space="preserve"> за частотою призначень пацієнтам дитячого віку з ХГД в даному відділенні (таблиця 1). </w:t>
      </w:r>
      <w:r w:rsidR="008B19CE" w:rsidRPr="00675164">
        <w:rPr>
          <w:sz w:val="28"/>
          <w:szCs w:val="28"/>
          <w:lang w:val="uk-UA"/>
        </w:rPr>
        <w:t>Крім них</w:t>
      </w:r>
      <w:r w:rsidR="00847FAC" w:rsidRPr="00675164">
        <w:rPr>
          <w:sz w:val="28"/>
          <w:szCs w:val="28"/>
          <w:lang w:val="uk-UA"/>
        </w:rPr>
        <w:t xml:space="preserve"> </w:t>
      </w:r>
      <w:r w:rsidR="00B15F27" w:rsidRPr="00675164">
        <w:rPr>
          <w:sz w:val="28"/>
          <w:szCs w:val="28"/>
          <w:lang w:val="uk-UA"/>
        </w:rPr>
        <w:t xml:space="preserve">значна частота призначень встановлена для </w:t>
      </w:r>
      <w:proofErr w:type="spellStart"/>
      <w:r w:rsidR="00847FAC" w:rsidRPr="00675164">
        <w:rPr>
          <w:sz w:val="28"/>
          <w:szCs w:val="28"/>
          <w:lang w:val="uk-UA"/>
        </w:rPr>
        <w:t>ентеросорбент</w:t>
      </w:r>
      <w:r w:rsidR="00B15F27" w:rsidRPr="00675164">
        <w:rPr>
          <w:sz w:val="28"/>
          <w:szCs w:val="28"/>
          <w:lang w:val="uk-UA"/>
        </w:rPr>
        <w:t>а</w:t>
      </w:r>
      <w:proofErr w:type="spellEnd"/>
      <w:r w:rsidR="00847FAC" w:rsidRPr="00675164">
        <w:rPr>
          <w:sz w:val="28"/>
          <w:szCs w:val="28"/>
          <w:lang w:val="uk-UA"/>
        </w:rPr>
        <w:t xml:space="preserve"> «</w:t>
      </w:r>
      <w:proofErr w:type="spellStart"/>
      <w:r w:rsidR="00847FAC" w:rsidRPr="00675164">
        <w:rPr>
          <w:sz w:val="28"/>
          <w:szCs w:val="28"/>
          <w:lang w:val="uk-UA"/>
        </w:rPr>
        <w:t>Смекта</w:t>
      </w:r>
      <w:proofErr w:type="spellEnd"/>
      <w:r w:rsidR="00847FAC" w:rsidRPr="00675164">
        <w:rPr>
          <w:sz w:val="28"/>
          <w:szCs w:val="28"/>
          <w:lang w:val="uk-UA"/>
        </w:rPr>
        <w:t xml:space="preserve">», </w:t>
      </w:r>
      <w:proofErr w:type="spellStart"/>
      <w:r w:rsidR="00847FAC" w:rsidRPr="00675164">
        <w:rPr>
          <w:sz w:val="28"/>
          <w:szCs w:val="28"/>
          <w:lang w:val="uk-UA"/>
        </w:rPr>
        <w:t>гастропротектор</w:t>
      </w:r>
      <w:r w:rsidR="00B15F27" w:rsidRPr="00675164">
        <w:rPr>
          <w:sz w:val="28"/>
          <w:szCs w:val="28"/>
          <w:lang w:val="uk-UA"/>
        </w:rPr>
        <w:t>а</w:t>
      </w:r>
      <w:proofErr w:type="spellEnd"/>
      <w:r w:rsidR="00847FAC" w:rsidRPr="00675164">
        <w:rPr>
          <w:sz w:val="28"/>
          <w:szCs w:val="28"/>
          <w:lang w:val="uk-UA"/>
        </w:rPr>
        <w:t xml:space="preserve"> «</w:t>
      </w:r>
      <w:proofErr w:type="spellStart"/>
      <w:r w:rsidR="00847FAC" w:rsidRPr="00675164">
        <w:rPr>
          <w:sz w:val="28"/>
          <w:szCs w:val="28"/>
          <w:lang w:val="uk-UA"/>
        </w:rPr>
        <w:t>Вікалін</w:t>
      </w:r>
      <w:proofErr w:type="spellEnd"/>
      <w:r w:rsidR="00847FAC" w:rsidRPr="00675164">
        <w:rPr>
          <w:sz w:val="28"/>
          <w:szCs w:val="28"/>
          <w:lang w:val="uk-UA"/>
        </w:rPr>
        <w:t xml:space="preserve">», </w:t>
      </w:r>
      <w:proofErr w:type="spellStart"/>
      <w:r w:rsidR="00847FAC" w:rsidRPr="00675164">
        <w:rPr>
          <w:sz w:val="28"/>
          <w:szCs w:val="28"/>
          <w:lang w:val="uk-UA"/>
        </w:rPr>
        <w:t>антацид</w:t>
      </w:r>
      <w:r w:rsidR="00B15F27" w:rsidRPr="00675164">
        <w:rPr>
          <w:sz w:val="28"/>
          <w:szCs w:val="28"/>
          <w:lang w:val="uk-UA"/>
        </w:rPr>
        <w:t>ів</w:t>
      </w:r>
      <w:proofErr w:type="spellEnd"/>
      <w:r w:rsidR="00847FAC" w:rsidRPr="00675164">
        <w:rPr>
          <w:sz w:val="28"/>
          <w:szCs w:val="28"/>
          <w:lang w:val="uk-UA"/>
        </w:rPr>
        <w:t xml:space="preserve"> «</w:t>
      </w:r>
      <w:proofErr w:type="spellStart"/>
      <w:r w:rsidR="00847FAC" w:rsidRPr="00675164">
        <w:rPr>
          <w:sz w:val="28"/>
          <w:szCs w:val="28"/>
          <w:lang w:val="uk-UA"/>
        </w:rPr>
        <w:t>Фосфалюгель</w:t>
      </w:r>
      <w:proofErr w:type="spellEnd"/>
      <w:r w:rsidR="00847FAC" w:rsidRPr="00675164">
        <w:rPr>
          <w:sz w:val="28"/>
          <w:szCs w:val="28"/>
          <w:lang w:val="uk-UA"/>
        </w:rPr>
        <w:t>» та “</w:t>
      </w:r>
      <w:proofErr w:type="spellStart"/>
      <w:r w:rsidR="00847FAC" w:rsidRPr="00675164">
        <w:rPr>
          <w:sz w:val="28"/>
          <w:szCs w:val="28"/>
          <w:lang w:val="uk-UA"/>
        </w:rPr>
        <w:t>Маалокс</w:t>
      </w:r>
      <w:proofErr w:type="spellEnd"/>
      <w:r w:rsidR="00847FAC" w:rsidRPr="00675164">
        <w:rPr>
          <w:sz w:val="28"/>
          <w:szCs w:val="28"/>
          <w:lang w:val="uk-UA"/>
        </w:rPr>
        <w:t>”</w:t>
      </w:r>
      <w:r w:rsidR="00B15F27" w:rsidRPr="00675164">
        <w:rPr>
          <w:sz w:val="28"/>
          <w:szCs w:val="28"/>
          <w:lang w:val="uk-UA"/>
        </w:rPr>
        <w:t xml:space="preserve"> (таблиця 1)</w:t>
      </w:r>
      <w:r w:rsidR="00847FAC" w:rsidRPr="00675164">
        <w:rPr>
          <w:sz w:val="28"/>
          <w:szCs w:val="28"/>
          <w:lang w:val="uk-UA"/>
        </w:rPr>
        <w:t xml:space="preserve">. </w:t>
      </w:r>
      <w:r w:rsidR="00B00B0B" w:rsidRPr="00675164">
        <w:rPr>
          <w:sz w:val="28"/>
          <w:szCs w:val="28"/>
          <w:lang w:val="uk-UA"/>
        </w:rPr>
        <w:t>С</w:t>
      </w:r>
      <w:r w:rsidR="005D1460" w:rsidRPr="00675164">
        <w:rPr>
          <w:sz w:val="28"/>
          <w:szCs w:val="28"/>
          <w:lang w:val="uk-UA"/>
        </w:rPr>
        <w:t xml:space="preserve">еред </w:t>
      </w:r>
      <w:proofErr w:type="spellStart"/>
      <w:r w:rsidR="00B00B0B" w:rsidRPr="00675164">
        <w:rPr>
          <w:sz w:val="28"/>
          <w:szCs w:val="28"/>
          <w:lang w:val="uk-UA"/>
        </w:rPr>
        <w:t>ТН-лідерів</w:t>
      </w:r>
      <w:proofErr w:type="spellEnd"/>
      <w:r w:rsidR="00B00B0B" w:rsidRPr="00675164">
        <w:rPr>
          <w:sz w:val="28"/>
          <w:szCs w:val="28"/>
          <w:lang w:val="uk-UA"/>
        </w:rPr>
        <w:t xml:space="preserve"> за частотою призначень </w:t>
      </w:r>
      <w:r w:rsidR="008C2FAC" w:rsidRPr="00675164">
        <w:rPr>
          <w:sz w:val="28"/>
          <w:szCs w:val="28"/>
          <w:lang w:val="uk-UA"/>
        </w:rPr>
        <w:t>у</w:t>
      </w:r>
      <w:r w:rsidR="00B00B0B" w:rsidRPr="00675164">
        <w:rPr>
          <w:sz w:val="28"/>
          <w:szCs w:val="28"/>
          <w:lang w:val="uk-UA"/>
        </w:rPr>
        <w:t xml:space="preserve"> даному відділенні </w:t>
      </w:r>
      <w:r w:rsidR="005D1460" w:rsidRPr="00675164">
        <w:rPr>
          <w:sz w:val="28"/>
          <w:szCs w:val="28"/>
          <w:lang w:val="uk-UA"/>
        </w:rPr>
        <w:t xml:space="preserve">були </w:t>
      </w:r>
      <w:r w:rsidR="005D1460" w:rsidRPr="00675164">
        <w:rPr>
          <w:sz w:val="28"/>
          <w:szCs w:val="28"/>
          <w:lang w:val="uk-UA"/>
        </w:rPr>
        <w:lastRenderedPageBreak/>
        <w:t xml:space="preserve">препарати і іноземного, і </w:t>
      </w:r>
      <w:r w:rsidR="00B00B0B" w:rsidRPr="00675164">
        <w:rPr>
          <w:sz w:val="28"/>
          <w:szCs w:val="28"/>
          <w:lang w:val="uk-UA"/>
        </w:rPr>
        <w:t>вітчизняного виробництва</w:t>
      </w:r>
      <w:r w:rsidR="008F53E7" w:rsidRPr="00675164">
        <w:rPr>
          <w:sz w:val="28"/>
          <w:szCs w:val="28"/>
          <w:lang w:val="uk-UA"/>
        </w:rPr>
        <w:t>.</w:t>
      </w:r>
      <w:r w:rsidR="00B00B0B" w:rsidRPr="00675164">
        <w:rPr>
          <w:sz w:val="28"/>
          <w:szCs w:val="28"/>
          <w:lang w:val="uk-UA"/>
        </w:rPr>
        <w:t xml:space="preserve"> Ціна упаковки не впливала на частоту призначень і у лідерів за частотою призначень була в діапазоні від </w:t>
      </w:r>
      <w:r w:rsidR="00CC29BE" w:rsidRPr="00675164">
        <w:rPr>
          <w:sz w:val="28"/>
          <w:szCs w:val="28"/>
          <w:lang w:val="uk-UA"/>
        </w:rPr>
        <w:t>7,38 грн. до 214,36 грн. На першому місці у частотному рейтингу за ТН посідає представник групи «Блокатори Н</w:t>
      </w:r>
      <w:r w:rsidR="00CC29BE" w:rsidRPr="00675164">
        <w:rPr>
          <w:sz w:val="28"/>
          <w:szCs w:val="28"/>
          <w:vertAlign w:val="subscript"/>
          <w:lang w:val="uk-UA"/>
        </w:rPr>
        <w:t>2</w:t>
      </w:r>
      <w:r w:rsidR="00CC29BE" w:rsidRPr="00675164">
        <w:rPr>
          <w:sz w:val="28"/>
          <w:szCs w:val="28"/>
          <w:lang w:val="uk-UA"/>
        </w:rPr>
        <w:t xml:space="preserve">-гістамінових рецепторів» </w:t>
      </w:r>
      <w:r w:rsidR="00034538" w:rsidRPr="00675164">
        <w:rPr>
          <w:sz w:val="28"/>
          <w:szCs w:val="28"/>
          <w:lang w:val="uk-UA"/>
        </w:rPr>
        <w:t>–</w:t>
      </w:r>
      <w:r w:rsidR="00CC29BE" w:rsidRPr="00675164">
        <w:rPr>
          <w:sz w:val="28"/>
          <w:szCs w:val="28"/>
          <w:lang w:val="uk-UA"/>
        </w:rPr>
        <w:t xml:space="preserve"> «</w:t>
      </w:r>
      <w:proofErr w:type="spellStart"/>
      <w:r w:rsidR="00CC29BE" w:rsidRPr="00675164">
        <w:rPr>
          <w:sz w:val="28"/>
          <w:szCs w:val="28"/>
          <w:lang w:val="uk-UA"/>
        </w:rPr>
        <w:t>Фамотидин</w:t>
      </w:r>
      <w:proofErr w:type="spellEnd"/>
      <w:r w:rsidR="00CC29BE" w:rsidRPr="00675164">
        <w:rPr>
          <w:sz w:val="28"/>
          <w:szCs w:val="28"/>
          <w:lang w:val="uk-UA"/>
        </w:rPr>
        <w:t>» (</w:t>
      </w:r>
      <w:r w:rsidR="00CC29BE" w:rsidRPr="00675164">
        <w:rPr>
          <w:sz w:val="28"/>
          <w:szCs w:val="28"/>
          <w:shd w:val="clear" w:color="auto" w:fill="FFFFFF"/>
          <w:lang w:val="uk-UA"/>
        </w:rPr>
        <w:t>табл. в/о 0,02 г № 20</w:t>
      </w:r>
      <w:r w:rsidR="00CC29BE" w:rsidRPr="00675164">
        <w:rPr>
          <w:sz w:val="28"/>
          <w:szCs w:val="28"/>
          <w:lang w:val="uk-UA"/>
        </w:rPr>
        <w:t xml:space="preserve"> </w:t>
      </w:r>
      <w:r w:rsidR="008C2FAC" w:rsidRPr="00675164">
        <w:rPr>
          <w:sz w:val="28"/>
          <w:szCs w:val="28"/>
          <w:lang w:val="uk-UA"/>
        </w:rPr>
        <w:t>«</w:t>
      </w:r>
      <w:r w:rsidR="00CC29BE" w:rsidRPr="00675164">
        <w:rPr>
          <w:sz w:val="28"/>
          <w:szCs w:val="28"/>
          <w:lang w:val="uk-UA"/>
        </w:rPr>
        <w:t>Дарниця</w:t>
      </w:r>
      <w:r w:rsidR="008C2FAC" w:rsidRPr="00675164">
        <w:rPr>
          <w:sz w:val="28"/>
          <w:szCs w:val="28"/>
          <w:lang w:val="uk-UA"/>
        </w:rPr>
        <w:t>»</w:t>
      </w:r>
      <w:r w:rsidR="00CC29BE" w:rsidRPr="00675164">
        <w:rPr>
          <w:sz w:val="28"/>
          <w:szCs w:val="28"/>
          <w:lang w:val="uk-UA"/>
        </w:rPr>
        <w:t xml:space="preserve">) – 36 призначень (8,75 % від загальної кількості призначень). </w:t>
      </w:r>
    </w:p>
    <w:p w:rsidR="00961A89" w:rsidRPr="00675164" w:rsidRDefault="00961A89" w:rsidP="0067516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75164">
        <w:rPr>
          <w:bCs/>
          <w:iCs/>
          <w:sz w:val="28"/>
          <w:szCs w:val="28"/>
          <w:lang w:val="uk-UA"/>
        </w:rPr>
        <w:t xml:space="preserve">Найбільші витрати супроводжували застосування </w:t>
      </w:r>
      <w:proofErr w:type="spellStart"/>
      <w:r w:rsidRPr="00675164">
        <w:rPr>
          <w:bCs/>
          <w:iCs/>
          <w:sz w:val="28"/>
          <w:szCs w:val="28"/>
          <w:lang w:val="uk-UA"/>
        </w:rPr>
        <w:t>а</w:t>
      </w:r>
      <w:r w:rsidRPr="00675164">
        <w:rPr>
          <w:sz w:val="28"/>
          <w:szCs w:val="28"/>
          <w:lang w:val="uk-UA"/>
        </w:rPr>
        <w:t>нтацидів</w:t>
      </w:r>
      <w:proofErr w:type="spellEnd"/>
      <w:r w:rsidRPr="00675164">
        <w:rPr>
          <w:sz w:val="28"/>
          <w:szCs w:val="28"/>
          <w:lang w:val="uk-UA"/>
        </w:rPr>
        <w:t xml:space="preserve"> (4 МНН, 5 ТН, 20,32 % від загальної суми витрат), препаратів груп «Інші </w:t>
      </w:r>
      <w:proofErr w:type="spellStart"/>
      <w:r w:rsidRPr="00675164">
        <w:rPr>
          <w:sz w:val="28"/>
          <w:szCs w:val="28"/>
          <w:lang w:val="uk-UA"/>
        </w:rPr>
        <w:t>ентеросорбенти</w:t>
      </w:r>
      <w:proofErr w:type="spellEnd"/>
      <w:r w:rsidRPr="00675164">
        <w:rPr>
          <w:sz w:val="28"/>
          <w:szCs w:val="28"/>
          <w:lang w:val="uk-UA"/>
        </w:rPr>
        <w:t>» (1 МНН, 1 ТН, 19,93 % витрат) та «Засоби, що застосовуються при функціональних розладах з боку ШКТ» (1 МНН, 1 ТН, 15,20 % витрат), жовчогінних засобів (1 МНН, 3 ТН, 12,27</w:t>
      </w:r>
      <w:r w:rsidR="00BA6A4B">
        <w:rPr>
          <w:sz w:val="28"/>
          <w:szCs w:val="28"/>
          <w:lang w:val="uk-UA"/>
        </w:rPr>
        <w:t xml:space="preserve"> </w:t>
      </w:r>
      <w:r w:rsidRPr="00675164">
        <w:rPr>
          <w:sz w:val="28"/>
          <w:szCs w:val="28"/>
          <w:lang w:val="uk-UA"/>
        </w:rPr>
        <w:t xml:space="preserve">% витрат). Витрати на </w:t>
      </w:r>
      <w:r w:rsidR="008C2FAC" w:rsidRPr="00675164">
        <w:rPr>
          <w:sz w:val="28"/>
          <w:szCs w:val="28"/>
          <w:lang w:val="uk-UA"/>
        </w:rPr>
        <w:t xml:space="preserve">10 </w:t>
      </w:r>
      <w:r w:rsidRPr="00675164">
        <w:rPr>
          <w:sz w:val="28"/>
          <w:szCs w:val="28"/>
          <w:lang w:val="uk-UA"/>
        </w:rPr>
        <w:t>ТН даних 4-х груп складають більше половини витрат (67,72</w:t>
      </w:r>
      <w:r w:rsidR="00BA6A4B">
        <w:rPr>
          <w:sz w:val="28"/>
          <w:szCs w:val="28"/>
          <w:lang w:val="uk-UA"/>
        </w:rPr>
        <w:t xml:space="preserve"> </w:t>
      </w:r>
      <w:r w:rsidRPr="00675164">
        <w:rPr>
          <w:sz w:val="28"/>
          <w:szCs w:val="28"/>
          <w:lang w:val="uk-UA"/>
        </w:rPr>
        <w:t xml:space="preserve">%) на всі досліджувані ЛП (40 ТН). </w:t>
      </w:r>
    </w:p>
    <w:p w:rsidR="00064AB3" w:rsidRPr="00675164" w:rsidRDefault="001F2E8C" w:rsidP="00675164">
      <w:pPr>
        <w:spacing w:line="360" w:lineRule="auto"/>
        <w:ind w:firstLine="708"/>
        <w:jc w:val="both"/>
        <w:rPr>
          <w:color w:val="FF0000"/>
          <w:sz w:val="28"/>
          <w:szCs w:val="28"/>
          <w:lang w:val="uk-UA"/>
        </w:rPr>
      </w:pPr>
      <w:r w:rsidRPr="00675164">
        <w:rPr>
          <w:bCs/>
          <w:iCs/>
          <w:sz w:val="28"/>
          <w:szCs w:val="28"/>
          <w:lang w:val="uk-UA"/>
        </w:rPr>
        <w:t xml:space="preserve">За результатами </w:t>
      </w:r>
      <w:proofErr w:type="spellStart"/>
      <w:r w:rsidRPr="00675164">
        <w:rPr>
          <w:bCs/>
          <w:iCs/>
          <w:sz w:val="28"/>
          <w:szCs w:val="28"/>
          <w:lang w:val="uk-UA"/>
        </w:rPr>
        <w:t>АВС-аналізу</w:t>
      </w:r>
      <w:proofErr w:type="spellEnd"/>
      <w:r w:rsidR="00700700" w:rsidRPr="00675164">
        <w:rPr>
          <w:bCs/>
          <w:iCs/>
          <w:sz w:val="28"/>
          <w:szCs w:val="28"/>
          <w:lang w:val="uk-UA"/>
        </w:rPr>
        <w:t xml:space="preserve"> в групу А </w:t>
      </w:r>
      <w:r w:rsidRPr="00675164">
        <w:rPr>
          <w:bCs/>
          <w:iCs/>
          <w:sz w:val="28"/>
          <w:szCs w:val="28"/>
          <w:lang w:val="uk-UA"/>
        </w:rPr>
        <w:t>увійшли</w:t>
      </w:r>
      <w:r w:rsidR="00700700" w:rsidRPr="00675164">
        <w:rPr>
          <w:bCs/>
          <w:iCs/>
          <w:sz w:val="28"/>
          <w:szCs w:val="28"/>
          <w:lang w:val="uk-UA"/>
        </w:rPr>
        <w:t xml:space="preserve"> </w:t>
      </w:r>
      <w:r w:rsidRPr="00675164">
        <w:rPr>
          <w:sz w:val="28"/>
          <w:szCs w:val="28"/>
          <w:lang w:val="uk-UA"/>
        </w:rPr>
        <w:t>13</w:t>
      </w:r>
      <w:r w:rsidR="00700700" w:rsidRPr="00675164">
        <w:rPr>
          <w:bCs/>
          <w:iCs/>
          <w:sz w:val="28"/>
          <w:szCs w:val="28"/>
          <w:lang w:val="uk-UA"/>
        </w:rPr>
        <w:t xml:space="preserve"> ЛП (</w:t>
      </w:r>
      <w:r w:rsidRPr="00675164">
        <w:rPr>
          <w:sz w:val="28"/>
          <w:szCs w:val="28"/>
          <w:lang w:val="uk-UA"/>
        </w:rPr>
        <w:t>79,69 % коштів від загальної суми витрат на лікарські засоби</w:t>
      </w:r>
      <w:r w:rsidR="00700700" w:rsidRPr="00675164">
        <w:rPr>
          <w:sz w:val="28"/>
          <w:szCs w:val="28"/>
          <w:lang w:val="uk-UA"/>
        </w:rPr>
        <w:t xml:space="preserve">), в групу В – </w:t>
      </w:r>
      <w:r w:rsidRPr="00675164">
        <w:rPr>
          <w:sz w:val="28"/>
          <w:szCs w:val="28"/>
          <w:lang w:val="uk-UA"/>
        </w:rPr>
        <w:t>10</w:t>
      </w:r>
      <w:r w:rsidR="00700700" w:rsidRPr="00675164">
        <w:rPr>
          <w:sz w:val="28"/>
          <w:szCs w:val="28"/>
          <w:lang w:val="uk-UA"/>
        </w:rPr>
        <w:t xml:space="preserve"> ЛП (</w:t>
      </w:r>
      <w:r w:rsidRPr="00675164">
        <w:rPr>
          <w:sz w:val="28"/>
          <w:szCs w:val="28"/>
          <w:lang w:val="uk-UA"/>
        </w:rPr>
        <w:t xml:space="preserve">14,99 </w:t>
      </w:r>
      <w:r w:rsidR="005C0E4B" w:rsidRPr="00675164">
        <w:rPr>
          <w:sz w:val="28"/>
          <w:szCs w:val="28"/>
          <w:lang w:val="uk-UA"/>
        </w:rPr>
        <w:t xml:space="preserve">% </w:t>
      </w:r>
      <w:r w:rsidRPr="00675164">
        <w:rPr>
          <w:sz w:val="28"/>
          <w:szCs w:val="28"/>
          <w:lang w:val="uk-UA"/>
        </w:rPr>
        <w:t>витрат), в груп</w:t>
      </w:r>
      <w:r w:rsidR="00700700" w:rsidRPr="00675164">
        <w:rPr>
          <w:sz w:val="28"/>
          <w:szCs w:val="28"/>
          <w:lang w:val="uk-UA"/>
        </w:rPr>
        <w:t xml:space="preserve">у С – </w:t>
      </w:r>
      <w:r w:rsidRPr="00675164">
        <w:rPr>
          <w:sz w:val="28"/>
          <w:szCs w:val="28"/>
          <w:lang w:val="uk-UA"/>
        </w:rPr>
        <w:t>17</w:t>
      </w:r>
      <w:r w:rsidR="00700700" w:rsidRPr="00675164">
        <w:rPr>
          <w:sz w:val="28"/>
          <w:szCs w:val="28"/>
          <w:lang w:val="uk-UA"/>
        </w:rPr>
        <w:t xml:space="preserve"> ЛП (</w:t>
      </w:r>
      <w:r w:rsidRPr="00675164">
        <w:rPr>
          <w:sz w:val="28"/>
          <w:szCs w:val="28"/>
          <w:lang w:val="uk-UA"/>
        </w:rPr>
        <w:t>5,32</w:t>
      </w:r>
      <w:r w:rsidR="007B335F" w:rsidRPr="00675164">
        <w:rPr>
          <w:sz w:val="28"/>
          <w:szCs w:val="28"/>
          <w:lang w:val="uk-UA"/>
        </w:rPr>
        <w:t xml:space="preserve"> </w:t>
      </w:r>
      <w:r w:rsidR="005C0E4B" w:rsidRPr="00675164">
        <w:rPr>
          <w:sz w:val="28"/>
          <w:szCs w:val="28"/>
          <w:lang w:val="uk-UA"/>
        </w:rPr>
        <w:t xml:space="preserve">% </w:t>
      </w:r>
      <w:r w:rsidRPr="00675164">
        <w:rPr>
          <w:sz w:val="28"/>
          <w:szCs w:val="28"/>
          <w:lang w:val="uk-UA"/>
        </w:rPr>
        <w:t>витрат</w:t>
      </w:r>
      <w:r w:rsidR="00700700" w:rsidRPr="00675164">
        <w:rPr>
          <w:sz w:val="28"/>
          <w:szCs w:val="28"/>
          <w:lang w:val="uk-UA"/>
        </w:rPr>
        <w:t>).</w:t>
      </w:r>
      <w:r w:rsidR="005C4DEB" w:rsidRPr="00675164">
        <w:rPr>
          <w:sz w:val="28"/>
          <w:szCs w:val="28"/>
          <w:lang w:val="uk-UA"/>
        </w:rPr>
        <w:t xml:space="preserve"> </w:t>
      </w:r>
      <w:r w:rsidR="00CC0531" w:rsidRPr="00675164">
        <w:rPr>
          <w:sz w:val="28"/>
          <w:szCs w:val="28"/>
          <w:lang w:val="uk-UA"/>
        </w:rPr>
        <w:t>Практич</w:t>
      </w:r>
      <w:r w:rsidR="00595587" w:rsidRPr="00675164">
        <w:rPr>
          <w:sz w:val="28"/>
          <w:szCs w:val="28"/>
          <w:lang w:val="uk-UA"/>
        </w:rPr>
        <w:t>ний інтерес викликає найбільш витратна група А</w:t>
      </w:r>
      <w:r w:rsidR="00CC0531" w:rsidRPr="00675164">
        <w:rPr>
          <w:sz w:val="28"/>
          <w:szCs w:val="28"/>
          <w:lang w:val="uk-UA"/>
        </w:rPr>
        <w:t xml:space="preserve">. </w:t>
      </w:r>
      <w:r w:rsidR="00F21BF0">
        <w:rPr>
          <w:sz w:val="28"/>
          <w:szCs w:val="28"/>
          <w:lang w:val="uk-UA"/>
        </w:rPr>
        <w:t>Л</w:t>
      </w:r>
      <w:r w:rsidR="008C2FAC" w:rsidRPr="00675164">
        <w:rPr>
          <w:sz w:val="28"/>
          <w:szCs w:val="28"/>
          <w:lang w:val="uk-UA"/>
        </w:rPr>
        <w:t xml:space="preserve">ідерами за витратами були </w:t>
      </w:r>
      <w:r w:rsidR="00064AB3" w:rsidRPr="00675164">
        <w:rPr>
          <w:sz w:val="28"/>
          <w:szCs w:val="28"/>
          <w:lang w:val="uk-UA"/>
        </w:rPr>
        <w:t xml:space="preserve">наступні ЛП: представник групи «Інші </w:t>
      </w:r>
      <w:proofErr w:type="spellStart"/>
      <w:r w:rsidR="00064AB3" w:rsidRPr="00675164">
        <w:rPr>
          <w:sz w:val="28"/>
          <w:szCs w:val="28"/>
          <w:lang w:val="uk-UA"/>
        </w:rPr>
        <w:t>ентеросорбенти</w:t>
      </w:r>
      <w:proofErr w:type="spellEnd"/>
      <w:r w:rsidR="00064AB3" w:rsidRPr="00675164">
        <w:rPr>
          <w:sz w:val="28"/>
          <w:szCs w:val="28"/>
          <w:lang w:val="uk-UA"/>
        </w:rPr>
        <w:t>» «</w:t>
      </w:r>
      <w:proofErr w:type="spellStart"/>
      <w:r w:rsidR="00064AB3" w:rsidRPr="00675164">
        <w:rPr>
          <w:sz w:val="28"/>
          <w:szCs w:val="28"/>
          <w:lang w:val="uk-UA"/>
        </w:rPr>
        <w:t>Смекта</w:t>
      </w:r>
      <w:proofErr w:type="spellEnd"/>
      <w:r w:rsidR="00064AB3" w:rsidRPr="00675164">
        <w:rPr>
          <w:sz w:val="28"/>
          <w:szCs w:val="28"/>
          <w:lang w:val="uk-UA"/>
        </w:rPr>
        <w:t xml:space="preserve">», засіб, який застосовується при функціональних розладах з боку ШКТ </w:t>
      </w:r>
      <w:r w:rsidR="008C2FAC" w:rsidRPr="00675164">
        <w:rPr>
          <w:sz w:val="28"/>
          <w:szCs w:val="28"/>
          <w:lang w:val="uk-UA"/>
        </w:rPr>
        <w:t xml:space="preserve">– </w:t>
      </w:r>
      <w:r w:rsidR="00064AB3" w:rsidRPr="00675164">
        <w:rPr>
          <w:sz w:val="28"/>
          <w:szCs w:val="28"/>
          <w:lang w:val="uk-UA"/>
        </w:rPr>
        <w:t>«</w:t>
      </w:r>
      <w:proofErr w:type="spellStart"/>
      <w:r w:rsidR="00064AB3" w:rsidRPr="00675164">
        <w:rPr>
          <w:sz w:val="28"/>
          <w:szCs w:val="28"/>
          <w:lang w:val="uk-UA"/>
        </w:rPr>
        <w:t>Ібе</w:t>
      </w:r>
      <w:r w:rsidR="008C2FAC" w:rsidRPr="00675164">
        <w:rPr>
          <w:sz w:val="28"/>
          <w:szCs w:val="28"/>
          <w:lang w:val="uk-UA"/>
        </w:rPr>
        <w:t>рогаст</w:t>
      </w:r>
      <w:proofErr w:type="spellEnd"/>
      <w:r w:rsidR="008C2FAC" w:rsidRPr="00675164">
        <w:rPr>
          <w:sz w:val="28"/>
          <w:szCs w:val="28"/>
          <w:lang w:val="uk-UA"/>
        </w:rPr>
        <w:t xml:space="preserve">», </w:t>
      </w:r>
      <w:proofErr w:type="spellStart"/>
      <w:r w:rsidR="008C2FAC" w:rsidRPr="00675164">
        <w:rPr>
          <w:sz w:val="28"/>
          <w:szCs w:val="28"/>
          <w:lang w:val="uk-UA"/>
        </w:rPr>
        <w:t>антациди</w:t>
      </w:r>
      <w:proofErr w:type="spellEnd"/>
      <w:r w:rsidR="008C2FAC" w:rsidRPr="00675164">
        <w:rPr>
          <w:sz w:val="28"/>
          <w:szCs w:val="28"/>
          <w:lang w:val="uk-UA"/>
        </w:rPr>
        <w:t xml:space="preserve"> «</w:t>
      </w:r>
      <w:proofErr w:type="spellStart"/>
      <w:r w:rsidR="008C2FAC" w:rsidRPr="00675164">
        <w:rPr>
          <w:sz w:val="28"/>
          <w:szCs w:val="28"/>
          <w:lang w:val="uk-UA"/>
        </w:rPr>
        <w:t>Фосфалюгель</w:t>
      </w:r>
      <w:proofErr w:type="spellEnd"/>
      <w:r w:rsidR="008C2FAC" w:rsidRPr="00675164">
        <w:rPr>
          <w:sz w:val="28"/>
          <w:szCs w:val="28"/>
          <w:lang w:val="uk-UA"/>
        </w:rPr>
        <w:t>» та</w:t>
      </w:r>
      <w:r w:rsidR="00064AB3" w:rsidRPr="00675164">
        <w:rPr>
          <w:sz w:val="28"/>
          <w:szCs w:val="28"/>
          <w:lang w:val="uk-UA"/>
        </w:rPr>
        <w:t xml:space="preserve"> «</w:t>
      </w:r>
      <w:proofErr w:type="spellStart"/>
      <w:r w:rsidR="00064AB3" w:rsidRPr="00675164">
        <w:rPr>
          <w:sz w:val="28"/>
          <w:szCs w:val="28"/>
          <w:lang w:val="uk-UA"/>
        </w:rPr>
        <w:t>Маалокс</w:t>
      </w:r>
      <w:proofErr w:type="spellEnd"/>
      <w:r w:rsidR="00064AB3" w:rsidRPr="00675164">
        <w:rPr>
          <w:sz w:val="28"/>
          <w:szCs w:val="28"/>
          <w:lang w:val="uk-UA"/>
        </w:rPr>
        <w:t>»</w:t>
      </w:r>
      <w:r w:rsidR="008C2FAC" w:rsidRPr="00675164">
        <w:rPr>
          <w:sz w:val="28"/>
          <w:szCs w:val="28"/>
          <w:lang w:val="uk-UA"/>
        </w:rPr>
        <w:t>,</w:t>
      </w:r>
      <w:r w:rsidR="00064AB3" w:rsidRPr="00675164">
        <w:rPr>
          <w:sz w:val="28"/>
          <w:szCs w:val="28"/>
          <w:lang w:val="uk-UA"/>
        </w:rPr>
        <w:t xml:space="preserve"> жовчогінний засіб «</w:t>
      </w:r>
      <w:proofErr w:type="spellStart"/>
      <w:r w:rsidR="00064AB3" w:rsidRPr="00675164">
        <w:rPr>
          <w:sz w:val="28"/>
          <w:szCs w:val="28"/>
          <w:lang w:val="uk-UA"/>
        </w:rPr>
        <w:t>Артихол</w:t>
      </w:r>
      <w:proofErr w:type="spellEnd"/>
      <w:r w:rsidR="00B00288">
        <w:rPr>
          <w:sz w:val="28"/>
          <w:szCs w:val="28"/>
          <w:lang w:val="uk-UA"/>
        </w:rPr>
        <w:t xml:space="preserve"> 200</w:t>
      </w:r>
      <w:r w:rsidR="00064AB3" w:rsidRPr="00675164">
        <w:rPr>
          <w:sz w:val="28"/>
          <w:szCs w:val="28"/>
          <w:lang w:val="uk-UA"/>
        </w:rPr>
        <w:t>» (таблиця 2). Сукупна сума витрат на лікування пацієнтів дитячого віку з ХГД за допомогою вищезазначених ЛП складає 53,96</w:t>
      </w:r>
      <w:r w:rsidR="00BA6A4B">
        <w:rPr>
          <w:sz w:val="28"/>
          <w:szCs w:val="28"/>
          <w:lang w:val="uk-UA"/>
        </w:rPr>
        <w:t xml:space="preserve"> </w:t>
      </w:r>
      <w:r w:rsidR="00064AB3" w:rsidRPr="00675164">
        <w:rPr>
          <w:sz w:val="28"/>
          <w:szCs w:val="28"/>
          <w:lang w:val="uk-UA"/>
        </w:rPr>
        <w:t xml:space="preserve">% від загальної суми витрачених коштів, тобто половину всіх витрат. </w:t>
      </w:r>
      <w:r w:rsidR="00704F3E" w:rsidRPr="00675164">
        <w:rPr>
          <w:sz w:val="28"/>
          <w:szCs w:val="28"/>
          <w:lang w:val="uk-UA"/>
        </w:rPr>
        <w:t>Серед них є ЛП для лікування основного захворювання (ХГД) та супутньої патології. Привертають увагу ЛП «</w:t>
      </w:r>
      <w:proofErr w:type="spellStart"/>
      <w:r w:rsidR="00704F3E" w:rsidRPr="00675164">
        <w:rPr>
          <w:sz w:val="28"/>
          <w:szCs w:val="28"/>
          <w:lang w:val="uk-UA"/>
        </w:rPr>
        <w:t>Смекта</w:t>
      </w:r>
      <w:proofErr w:type="spellEnd"/>
      <w:r w:rsidR="00704F3E" w:rsidRPr="00675164">
        <w:rPr>
          <w:sz w:val="28"/>
          <w:szCs w:val="28"/>
          <w:lang w:val="uk-UA"/>
        </w:rPr>
        <w:t>» та «</w:t>
      </w:r>
      <w:proofErr w:type="spellStart"/>
      <w:r w:rsidR="00704F3E" w:rsidRPr="00675164">
        <w:rPr>
          <w:sz w:val="28"/>
          <w:szCs w:val="28"/>
          <w:lang w:val="uk-UA"/>
        </w:rPr>
        <w:t>Іберогаст</w:t>
      </w:r>
      <w:proofErr w:type="spellEnd"/>
      <w:r w:rsidR="00704F3E" w:rsidRPr="00675164">
        <w:rPr>
          <w:sz w:val="28"/>
          <w:szCs w:val="28"/>
          <w:lang w:val="uk-UA"/>
        </w:rPr>
        <w:t xml:space="preserve">». Зазначені препарати займають, відповідно, перше та друге місце </w:t>
      </w:r>
      <w:r w:rsidR="008C2FAC" w:rsidRPr="00675164">
        <w:rPr>
          <w:sz w:val="28"/>
          <w:szCs w:val="28"/>
          <w:lang w:val="uk-UA"/>
        </w:rPr>
        <w:t xml:space="preserve">за </w:t>
      </w:r>
      <w:proofErr w:type="spellStart"/>
      <w:r w:rsidR="008C2FAC" w:rsidRPr="00675164">
        <w:rPr>
          <w:sz w:val="28"/>
          <w:szCs w:val="28"/>
          <w:lang w:val="uk-UA"/>
        </w:rPr>
        <w:t>витратністю</w:t>
      </w:r>
      <w:proofErr w:type="spellEnd"/>
      <w:r w:rsidR="00704F3E" w:rsidRPr="00675164">
        <w:rPr>
          <w:sz w:val="28"/>
          <w:szCs w:val="28"/>
          <w:lang w:val="uk-UA"/>
        </w:rPr>
        <w:t xml:space="preserve"> серед ТН</w:t>
      </w:r>
      <w:r w:rsidR="00E5458D" w:rsidRPr="00675164">
        <w:rPr>
          <w:sz w:val="28"/>
          <w:szCs w:val="28"/>
          <w:lang w:val="uk-UA"/>
        </w:rPr>
        <w:t xml:space="preserve"> зі значним відривом від інших ЛП</w:t>
      </w:r>
      <w:r w:rsidR="00704F3E" w:rsidRPr="00675164">
        <w:rPr>
          <w:sz w:val="28"/>
          <w:szCs w:val="28"/>
          <w:lang w:val="uk-UA"/>
        </w:rPr>
        <w:t xml:space="preserve">, а їх МНН – </w:t>
      </w:r>
      <w:r w:rsidR="008C2FAC" w:rsidRPr="00675164">
        <w:rPr>
          <w:sz w:val="28"/>
          <w:szCs w:val="28"/>
          <w:lang w:val="uk-UA"/>
        </w:rPr>
        <w:t xml:space="preserve">серед </w:t>
      </w:r>
      <w:r w:rsidR="00704F3E" w:rsidRPr="00675164">
        <w:rPr>
          <w:sz w:val="28"/>
          <w:szCs w:val="28"/>
          <w:lang w:val="uk-UA"/>
        </w:rPr>
        <w:t xml:space="preserve">МНН. </w:t>
      </w:r>
      <w:r w:rsidR="00E5458D" w:rsidRPr="00675164">
        <w:rPr>
          <w:sz w:val="28"/>
          <w:szCs w:val="28"/>
          <w:lang w:val="uk-UA"/>
        </w:rPr>
        <w:t>Сукупна сума витрат на застосування зазначених 2-х ЛП у пацієнтів дитячого віку з ХГД складає 35,13 % від загальної суми витрат («</w:t>
      </w:r>
      <w:proofErr w:type="spellStart"/>
      <w:r w:rsidR="00E5458D" w:rsidRPr="00675164">
        <w:rPr>
          <w:sz w:val="28"/>
          <w:szCs w:val="28"/>
          <w:lang w:val="uk-UA"/>
        </w:rPr>
        <w:t>Смекта</w:t>
      </w:r>
      <w:proofErr w:type="spellEnd"/>
      <w:r w:rsidR="00E5458D" w:rsidRPr="00675164">
        <w:rPr>
          <w:sz w:val="28"/>
          <w:szCs w:val="28"/>
          <w:lang w:val="uk-UA"/>
        </w:rPr>
        <w:t>» – 19,93 %, «</w:t>
      </w:r>
      <w:proofErr w:type="spellStart"/>
      <w:r w:rsidR="00E5458D" w:rsidRPr="00675164">
        <w:rPr>
          <w:sz w:val="28"/>
          <w:szCs w:val="28"/>
          <w:lang w:val="uk-UA"/>
        </w:rPr>
        <w:t>Іберогаст</w:t>
      </w:r>
      <w:proofErr w:type="spellEnd"/>
      <w:r w:rsidR="00E5458D" w:rsidRPr="00675164">
        <w:rPr>
          <w:sz w:val="28"/>
          <w:szCs w:val="28"/>
          <w:lang w:val="uk-UA"/>
        </w:rPr>
        <w:t>» – 15,20 %</w:t>
      </w:r>
      <w:r w:rsidR="004A60DB" w:rsidRPr="00675164">
        <w:rPr>
          <w:sz w:val="28"/>
          <w:szCs w:val="28"/>
          <w:lang w:val="uk-UA"/>
        </w:rPr>
        <w:t>)</w:t>
      </w:r>
      <w:r w:rsidR="00E5458D" w:rsidRPr="00675164">
        <w:rPr>
          <w:sz w:val="28"/>
          <w:szCs w:val="28"/>
          <w:lang w:val="uk-UA"/>
        </w:rPr>
        <w:t xml:space="preserve">, тобто 1/3 всіх витрат. Вартість зазначених препаратів на курс лікування </w:t>
      </w:r>
      <w:r w:rsidR="00704F3E" w:rsidRPr="00675164">
        <w:rPr>
          <w:sz w:val="28"/>
          <w:szCs w:val="28"/>
          <w:lang w:val="uk-UA"/>
        </w:rPr>
        <w:t xml:space="preserve">1-го </w:t>
      </w:r>
      <w:r w:rsidR="00E5458D" w:rsidRPr="00675164">
        <w:rPr>
          <w:sz w:val="28"/>
          <w:szCs w:val="28"/>
          <w:lang w:val="uk-UA"/>
        </w:rPr>
        <w:t xml:space="preserve">хворого була найвищою серед досліджуваних </w:t>
      </w:r>
      <w:r w:rsidR="00E5458D" w:rsidRPr="00675164">
        <w:rPr>
          <w:sz w:val="28"/>
          <w:szCs w:val="28"/>
          <w:lang w:val="uk-UA"/>
        </w:rPr>
        <w:lastRenderedPageBreak/>
        <w:t xml:space="preserve">ЛП (відповідно, 285,86 </w:t>
      </w:r>
      <w:r w:rsidR="00704F3E" w:rsidRPr="00675164">
        <w:rPr>
          <w:sz w:val="28"/>
          <w:szCs w:val="28"/>
          <w:lang w:val="uk-UA"/>
        </w:rPr>
        <w:t xml:space="preserve">грн. </w:t>
      </w:r>
      <w:r w:rsidR="00E5458D" w:rsidRPr="00675164">
        <w:rPr>
          <w:sz w:val="28"/>
          <w:szCs w:val="28"/>
          <w:lang w:val="uk-UA"/>
        </w:rPr>
        <w:t>та</w:t>
      </w:r>
      <w:r w:rsidR="00704F3E" w:rsidRPr="00675164">
        <w:rPr>
          <w:sz w:val="28"/>
          <w:szCs w:val="28"/>
          <w:lang w:val="uk-UA"/>
        </w:rPr>
        <w:t xml:space="preserve"> </w:t>
      </w:r>
      <w:r w:rsidR="00E5458D" w:rsidRPr="00675164">
        <w:rPr>
          <w:sz w:val="28"/>
          <w:szCs w:val="28"/>
          <w:lang w:val="uk-UA"/>
        </w:rPr>
        <w:t>392,35</w:t>
      </w:r>
      <w:r w:rsidR="00704F3E" w:rsidRPr="00675164">
        <w:rPr>
          <w:sz w:val="28"/>
          <w:szCs w:val="28"/>
          <w:lang w:val="uk-UA"/>
        </w:rPr>
        <w:t xml:space="preserve"> грн.). </w:t>
      </w:r>
      <w:proofErr w:type="spellStart"/>
      <w:r w:rsidR="00222BB2" w:rsidRPr="00675164">
        <w:rPr>
          <w:sz w:val="28"/>
          <w:szCs w:val="28"/>
          <w:lang w:val="uk-UA"/>
        </w:rPr>
        <w:t>Ентеросорбент</w:t>
      </w:r>
      <w:proofErr w:type="spellEnd"/>
      <w:r w:rsidR="00222BB2" w:rsidRPr="00675164">
        <w:rPr>
          <w:sz w:val="28"/>
          <w:szCs w:val="28"/>
          <w:lang w:val="uk-UA"/>
        </w:rPr>
        <w:t xml:space="preserve"> «</w:t>
      </w:r>
      <w:proofErr w:type="spellStart"/>
      <w:r w:rsidR="00222BB2" w:rsidRPr="00675164">
        <w:rPr>
          <w:sz w:val="28"/>
          <w:szCs w:val="28"/>
          <w:lang w:val="uk-UA"/>
        </w:rPr>
        <w:t>Смекта</w:t>
      </w:r>
      <w:proofErr w:type="spellEnd"/>
      <w:r w:rsidR="00222BB2" w:rsidRPr="00675164">
        <w:rPr>
          <w:sz w:val="28"/>
          <w:szCs w:val="28"/>
          <w:lang w:val="uk-UA"/>
        </w:rPr>
        <w:t xml:space="preserve">» є одночасно і </w:t>
      </w:r>
      <w:proofErr w:type="spellStart"/>
      <w:r w:rsidR="00222BB2" w:rsidRPr="00675164">
        <w:rPr>
          <w:sz w:val="28"/>
          <w:szCs w:val="28"/>
          <w:lang w:val="uk-UA"/>
        </w:rPr>
        <w:t>ТН-лідером</w:t>
      </w:r>
      <w:proofErr w:type="spellEnd"/>
      <w:r w:rsidR="00222BB2" w:rsidRPr="00675164">
        <w:rPr>
          <w:sz w:val="28"/>
          <w:szCs w:val="28"/>
          <w:lang w:val="uk-UA"/>
        </w:rPr>
        <w:t xml:space="preserve"> </w:t>
      </w:r>
      <w:r w:rsidR="001167C7" w:rsidRPr="00675164">
        <w:rPr>
          <w:sz w:val="28"/>
          <w:szCs w:val="28"/>
          <w:lang w:val="uk-UA"/>
        </w:rPr>
        <w:t>за частотою призначень.</w:t>
      </w:r>
    </w:p>
    <w:p w:rsidR="00E5458D" w:rsidRPr="00675164" w:rsidRDefault="00E5458D" w:rsidP="00675164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675164">
        <w:rPr>
          <w:color w:val="000000"/>
          <w:sz w:val="28"/>
          <w:szCs w:val="28"/>
          <w:lang w:val="uk-UA"/>
        </w:rPr>
        <w:t xml:space="preserve">Співставлення результатів АВС/частотного аналізу показало, що </w:t>
      </w:r>
      <w:r w:rsidR="008C2FAC" w:rsidRPr="00675164">
        <w:rPr>
          <w:color w:val="000000"/>
          <w:sz w:val="28"/>
          <w:szCs w:val="28"/>
          <w:lang w:val="uk-UA"/>
        </w:rPr>
        <w:t>ЛП</w:t>
      </w:r>
      <w:r w:rsidRPr="00675164">
        <w:rPr>
          <w:color w:val="000000"/>
          <w:sz w:val="28"/>
          <w:szCs w:val="28"/>
          <w:lang w:val="uk-UA"/>
        </w:rPr>
        <w:t xml:space="preserve"> групи А призначались майже половині всіх хворих (</w:t>
      </w:r>
      <w:r w:rsidRPr="00675164">
        <w:rPr>
          <w:sz w:val="28"/>
          <w:szCs w:val="28"/>
          <w:lang w:val="uk-UA"/>
        </w:rPr>
        <w:t>48,90</w:t>
      </w:r>
      <w:r w:rsidR="00BA6A4B">
        <w:rPr>
          <w:sz w:val="28"/>
          <w:szCs w:val="28"/>
          <w:lang w:val="uk-UA"/>
        </w:rPr>
        <w:t xml:space="preserve"> </w:t>
      </w:r>
      <w:r w:rsidRPr="00675164">
        <w:rPr>
          <w:color w:val="000000"/>
          <w:sz w:val="28"/>
          <w:szCs w:val="28"/>
          <w:lang w:val="uk-UA"/>
        </w:rPr>
        <w:t xml:space="preserve">%). Серед </w:t>
      </w:r>
      <w:proofErr w:type="spellStart"/>
      <w:r w:rsidRPr="00675164">
        <w:rPr>
          <w:sz w:val="28"/>
          <w:szCs w:val="28"/>
          <w:lang w:val="uk-UA"/>
        </w:rPr>
        <w:t>ТН</w:t>
      </w:r>
      <w:r w:rsidR="004A60DB" w:rsidRPr="00675164">
        <w:rPr>
          <w:sz w:val="28"/>
          <w:szCs w:val="28"/>
          <w:lang w:val="uk-UA"/>
        </w:rPr>
        <w:t>-</w:t>
      </w:r>
      <w:r w:rsidR="002420AC" w:rsidRPr="00675164">
        <w:rPr>
          <w:sz w:val="28"/>
          <w:szCs w:val="28"/>
          <w:lang w:val="uk-UA"/>
        </w:rPr>
        <w:t>лідерів</w:t>
      </w:r>
      <w:proofErr w:type="spellEnd"/>
      <w:r w:rsidR="002420AC" w:rsidRPr="00675164">
        <w:rPr>
          <w:sz w:val="28"/>
          <w:szCs w:val="28"/>
          <w:lang w:val="uk-UA"/>
        </w:rPr>
        <w:t xml:space="preserve"> за частотою призначень тільки блокатор Н</w:t>
      </w:r>
      <w:r w:rsidR="002420AC" w:rsidRPr="00675164">
        <w:rPr>
          <w:sz w:val="28"/>
          <w:szCs w:val="28"/>
          <w:vertAlign w:val="subscript"/>
          <w:lang w:val="uk-UA"/>
        </w:rPr>
        <w:t>2</w:t>
      </w:r>
      <w:r w:rsidR="002420AC" w:rsidRPr="00675164">
        <w:rPr>
          <w:sz w:val="28"/>
          <w:szCs w:val="28"/>
          <w:lang w:val="uk-UA"/>
        </w:rPr>
        <w:t>-гістамінових рецепторів «</w:t>
      </w:r>
      <w:proofErr w:type="spellStart"/>
      <w:r w:rsidR="002420AC" w:rsidRPr="00675164">
        <w:rPr>
          <w:sz w:val="28"/>
          <w:szCs w:val="28"/>
          <w:lang w:val="uk-UA"/>
        </w:rPr>
        <w:t>Фамотидин</w:t>
      </w:r>
      <w:proofErr w:type="spellEnd"/>
      <w:r w:rsidR="002420AC" w:rsidRPr="00675164">
        <w:rPr>
          <w:sz w:val="28"/>
          <w:szCs w:val="28"/>
          <w:lang w:val="uk-UA"/>
        </w:rPr>
        <w:t>»</w:t>
      </w:r>
      <w:r w:rsidR="007B33C8" w:rsidRPr="00675164">
        <w:rPr>
          <w:sz w:val="28"/>
          <w:szCs w:val="28"/>
          <w:lang w:val="uk-UA"/>
        </w:rPr>
        <w:t xml:space="preserve"> </w:t>
      </w:r>
      <w:r w:rsidR="00CA7F8E" w:rsidRPr="00675164">
        <w:rPr>
          <w:sz w:val="28"/>
          <w:szCs w:val="28"/>
          <w:lang w:val="uk-UA"/>
        </w:rPr>
        <w:t>був</w:t>
      </w:r>
      <w:r w:rsidR="0098725E" w:rsidRPr="00675164">
        <w:rPr>
          <w:sz w:val="28"/>
          <w:szCs w:val="28"/>
          <w:lang w:val="uk-UA"/>
        </w:rPr>
        <w:t xml:space="preserve"> п</w:t>
      </w:r>
      <w:r w:rsidR="007B33C8" w:rsidRPr="00675164">
        <w:rPr>
          <w:sz w:val="28"/>
          <w:szCs w:val="28"/>
          <w:lang w:val="uk-UA"/>
        </w:rPr>
        <w:t xml:space="preserve">редставником групи В за результатами </w:t>
      </w:r>
      <w:proofErr w:type="spellStart"/>
      <w:r w:rsidR="007B33C8" w:rsidRPr="00675164">
        <w:rPr>
          <w:sz w:val="28"/>
          <w:szCs w:val="28"/>
          <w:lang w:val="uk-UA"/>
        </w:rPr>
        <w:t>АВС-аналізу</w:t>
      </w:r>
      <w:proofErr w:type="spellEnd"/>
      <w:r w:rsidR="007B33C8" w:rsidRPr="00675164">
        <w:rPr>
          <w:sz w:val="28"/>
          <w:szCs w:val="28"/>
          <w:lang w:val="uk-UA"/>
        </w:rPr>
        <w:t xml:space="preserve">. </w:t>
      </w:r>
      <w:r w:rsidR="007B33C8" w:rsidRPr="00675164">
        <w:rPr>
          <w:sz w:val="28"/>
          <w:szCs w:val="28"/>
          <w:lang w:val="uk-UA" w:eastAsia="uk-UA"/>
        </w:rPr>
        <w:t>В</w:t>
      </w:r>
      <w:r w:rsidR="007B33C8" w:rsidRPr="00675164">
        <w:rPr>
          <w:sz w:val="28"/>
          <w:szCs w:val="28"/>
          <w:lang w:val="uk-UA"/>
        </w:rPr>
        <w:t xml:space="preserve">итрати на його застосування пов’язані з </w:t>
      </w:r>
      <w:r w:rsidR="00B00288">
        <w:rPr>
          <w:sz w:val="28"/>
          <w:szCs w:val="28"/>
          <w:lang w:val="uk-UA"/>
        </w:rPr>
        <w:t xml:space="preserve">найбільшою </w:t>
      </w:r>
      <w:r w:rsidR="007B33C8" w:rsidRPr="00675164">
        <w:rPr>
          <w:sz w:val="28"/>
          <w:szCs w:val="28"/>
          <w:lang w:val="uk-UA"/>
        </w:rPr>
        <w:t>кількістю призначень</w:t>
      </w:r>
      <w:r w:rsidR="00B00288">
        <w:rPr>
          <w:sz w:val="28"/>
          <w:szCs w:val="28"/>
          <w:lang w:val="uk-UA"/>
        </w:rPr>
        <w:t xml:space="preserve"> серед досліджуваних ЛП</w:t>
      </w:r>
      <w:r w:rsidR="007B33C8" w:rsidRPr="00675164">
        <w:rPr>
          <w:sz w:val="28"/>
          <w:szCs w:val="28"/>
          <w:lang w:val="uk-UA"/>
        </w:rPr>
        <w:t xml:space="preserve">, а також з низькими ціною упаковки (7,38 грн.) та вартістю курсу лікування 1-го хворого (10,71 грн.). Інші </w:t>
      </w:r>
      <w:r w:rsidR="008C2FAC" w:rsidRPr="00675164">
        <w:rPr>
          <w:sz w:val="28"/>
          <w:szCs w:val="28"/>
          <w:lang w:val="uk-UA"/>
        </w:rPr>
        <w:t xml:space="preserve">найбільш призначувані </w:t>
      </w:r>
      <w:r w:rsidR="007B33C8" w:rsidRPr="00675164">
        <w:rPr>
          <w:sz w:val="28"/>
          <w:szCs w:val="28"/>
          <w:lang w:val="uk-UA"/>
        </w:rPr>
        <w:t xml:space="preserve">ЛП увійшли до найбільш витратної групи А. Витрати на їх застосування пов’язані з </w:t>
      </w:r>
      <w:r w:rsidR="00B00288">
        <w:rPr>
          <w:sz w:val="28"/>
          <w:szCs w:val="28"/>
          <w:lang w:val="uk-UA"/>
        </w:rPr>
        <w:t>великою</w:t>
      </w:r>
      <w:r w:rsidR="007B33C8" w:rsidRPr="00675164">
        <w:rPr>
          <w:sz w:val="28"/>
          <w:szCs w:val="28"/>
          <w:lang w:val="uk-UA"/>
        </w:rPr>
        <w:t xml:space="preserve"> кількістю призначень, високою та середньою вартістю курсу лікування 1-го хворого. </w:t>
      </w:r>
      <w:r w:rsidR="002420AC" w:rsidRPr="00675164">
        <w:rPr>
          <w:sz w:val="28"/>
          <w:szCs w:val="28"/>
          <w:lang w:val="uk-UA"/>
        </w:rPr>
        <w:t xml:space="preserve"> </w:t>
      </w:r>
    </w:p>
    <w:p w:rsidR="00665340" w:rsidRPr="00675164" w:rsidRDefault="008A155B" w:rsidP="0067516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75164">
        <w:rPr>
          <w:b/>
          <w:color w:val="000000"/>
          <w:sz w:val="28"/>
          <w:szCs w:val="28"/>
          <w:lang w:val="uk-UA"/>
        </w:rPr>
        <w:t>Висновки</w:t>
      </w:r>
      <w:r w:rsidR="00D908B9" w:rsidRPr="00675164">
        <w:rPr>
          <w:b/>
          <w:color w:val="000000"/>
          <w:sz w:val="28"/>
          <w:szCs w:val="28"/>
          <w:lang w:val="uk-UA"/>
        </w:rPr>
        <w:t>:</w:t>
      </w:r>
      <w:r w:rsidR="00BD5EE2" w:rsidRPr="00675164">
        <w:rPr>
          <w:color w:val="000000"/>
          <w:sz w:val="28"/>
          <w:szCs w:val="28"/>
          <w:lang w:val="uk-UA"/>
        </w:rPr>
        <w:t xml:space="preserve"> </w:t>
      </w:r>
    </w:p>
    <w:p w:rsidR="007B33C8" w:rsidRPr="00675164" w:rsidRDefault="007B33C8" w:rsidP="00675164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751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Домінуючі напрямки </w:t>
      </w:r>
      <w:r w:rsidR="004A60DB" w:rsidRPr="006751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лікування </w:t>
      </w:r>
      <w:r w:rsidRPr="006751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хворих </w:t>
      </w:r>
      <w:r w:rsidR="004A60DB" w:rsidRPr="006751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дитячого віку </w:t>
      </w:r>
      <w:r w:rsidRPr="006751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ХГД </w:t>
      </w:r>
      <w:r w:rsidR="004A60DB" w:rsidRPr="00675164">
        <w:rPr>
          <w:rFonts w:ascii="Times New Roman" w:eastAsia="Times New Roman" w:hAnsi="Times New Roman"/>
          <w:sz w:val="28"/>
          <w:szCs w:val="28"/>
          <w:lang w:val="uk-UA" w:eastAsia="ru-RU"/>
        </w:rPr>
        <w:t>у даному ЗОЗ м. Харкова</w:t>
      </w:r>
      <w:r w:rsidRPr="006751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патогенетична терапія основного захворювання, а також супутньої гастроентерологічної патології. </w:t>
      </w:r>
      <w:r w:rsidR="0068715F" w:rsidRPr="00675164">
        <w:rPr>
          <w:rFonts w:ascii="Times New Roman" w:eastAsia="Times New Roman" w:hAnsi="Times New Roman"/>
          <w:sz w:val="28"/>
          <w:szCs w:val="28"/>
          <w:lang w:val="uk-UA" w:eastAsia="ru-RU"/>
        </w:rPr>
        <w:t>Необхідною є раціоналізац</w:t>
      </w:r>
      <w:r w:rsidR="00424833" w:rsidRPr="00675164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68715F" w:rsidRPr="00675164">
        <w:rPr>
          <w:rFonts w:ascii="Times New Roman" w:eastAsia="Times New Roman" w:hAnsi="Times New Roman"/>
          <w:sz w:val="28"/>
          <w:szCs w:val="28"/>
          <w:lang w:val="uk-UA" w:eastAsia="ru-RU"/>
        </w:rPr>
        <w:t>я лікарських призначень кожному окремому хворому для уникнення поліпрагмазії.</w:t>
      </w:r>
    </w:p>
    <w:p w:rsidR="0025372A" w:rsidRPr="00675164" w:rsidRDefault="007B33C8" w:rsidP="00675164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751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Основні грошові кошти, пов'язані з </w:t>
      </w:r>
      <w:r w:rsidR="004A60DB" w:rsidRPr="00675164">
        <w:rPr>
          <w:rFonts w:ascii="Times New Roman" w:eastAsia="Times New Roman" w:hAnsi="Times New Roman"/>
          <w:sz w:val="28"/>
          <w:szCs w:val="28"/>
          <w:lang w:val="uk-UA" w:eastAsia="ru-RU"/>
        </w:rPr>
        <w:t>фармакотерапією</w:t>
      </w:r>
      <w:r w:rsidRPr="006751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дітей з ХГД </w:t>
      </w:r>
      <w:r w:rsidR="004A60DB" w:rsidRPr="00675164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6751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даному ЗОЗ м.</w:t>
      </w:r>
      <w:r w:rsidR="004A60DB" w:rsidRPr="006751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6751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Харкова, були витрачені на часто призначувані ЛП. Значна частина (35,13 %) витрат пов'язана з застосуванням двох ЛП: </w:t>
      </w:r>
      <w:r w:rsidR="005E035C" w:rsidRPr="00675164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proofErr w:type="spellStart"/>
      <w:r w:rsidR="005E035C" w:rsidRPr="00675164">
        <w:rPr>
          <w:rFonts w:ascii="Times New Roman" w:eastAsia="Times New Roman" w:hAnsi="Times New Roman"/>
          <w:sz w:val="28"/>
          <w:szCs w:val="28"/>
          <w:lang w:val="uk-UA" w:eastAsia="ru-RU"/>
        </w:rPr>
        <w:t>Смекта</w:t>
      </w:r>
      <w:proofErr w:type="spellEnd"/>
      <w:r w:rsidR="005E035C" w:rsidRPr="006751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(група «Інші </w:t>
      </w:r>
      <w:proofErr w:type="spellStart"/>
      <w:r w:rsidR="005E035C" w:rsidRPr="00675164">
        <w:rPr>
          <w:rFonts w:ascii="Times New Roman" w:eastAsia="Times New Roman" w:hAnsi="Times New Roman"/>
          <w:sz w:val="28"/>
          <w:szCs w:val="28"/>
          <w:lang w:val="uk-UA" w:eastAsia="ru-RU"/>
        </w:rPr>
        <w:t>ентеросорбенти</w:t>
      </w:r>
      <w:proofErr w:type="spellEnd"/>
      <w:r w:rsidR="005E035C" w:rsidRPr="00675164">
        <w:rPr>
          <w:rFonts w:ascii="Times New Roman" w:eastAsia="Times New Roman" w:hAnsi="Times New Roman"/>
          <w:sz w:val="28"/>
          <w:szCs w:val="28"/>
          <w:lang w:val="uk-UA" w:eastAsia="ru-RU"/>
        </w:rPr>
        <w:t>») та «</w:t>
      </w:r>
      <w:proofErr w:type="spellStart"/>
      <w:r w:rsidR="005E035C" w:rsidRPr="00675164">
        <w:rPr>
          <w:rFonts w:ascii="Times New Roman" w:eastAsia="Times New Roman" w:hAnsi="Times New Roman"/>
          <w:sz w:val="28"/>
          <w:szCs w:val="28"/>
          <w:lang w:val="uk-UA" w:eastAsia="ru-RU"/>
        </w:rPr>
        <w:t>Іберогаст</w:t>
      </w:r>
      <w:proofErr w:type="spellEnd"/>
      <w:r w:rsidR="005E035C" w:rsidRPr="00675164">
        <w:rPr>
          <w:rFonts w:ascii="Times New Roman" w:eastAsia="Times New Roman" w:hAnsi="Times New Roman"/>
          <w:sz w:val="28"/>
          <w:szCs w:val="28"/>
          <w:lang w:val="uk-UA" w:eastAsia="ru-RU"/>
        </w:rPr>
        <w:t>» (група «Засоби, які застосовуються при функціональних розладах з боку ШКТ»).</w:t>
      </w:r>
      <w:r w:rsidR="00F04A70" w:rsidRPr="006751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F04A70" w:rsidRPr="00675164" w:rsidRDefault="00691A78" w:rsidP="00675164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75164">
        <w:rPr>
          <w:rFonts w:ascii="Times New Roman" w:eastAsia="Times New Roman" w:hAnsi="Times New Roman"/>
          <w:sz w:val="28"/>
          <w:szCs w:val="28"/>
          <w:lang w:val="uk-UA" w:eastAsia="ru-RU"/>
        </w:rPr>
        <w:t>Для при</w:t>
      </w:r>
      <w:r w:rsidR="005E035C" w:rsidRPr="006751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йняття рішення щодо раціональності фармакотерапії пацієнтів дитячого віку з ХГД в даному ЗОЗ м. Харкова та оптимізації витрат на її проведення в подальшому необхідним є проведення </w:t>
      </w:r>
      <w:r w:rsidRPr="00675164">
        <w:rPr>
          <w:rFonts w:ascii="Times New Roman" w:eastAsia="Times New Roman" w:hAnsi="Times New Roman"/>
          <w:sz w:val="28"/>
          <w:szCs w:val="28"/>
          <w:lang w:val="en-US" w:eastAsia="ru-RU"/>
        </w:rPr>
        <w:t>VEN</w:t>
      </w:r>
      <w:r w:rsidRPr="00675164">
        <w:rPr>
          <w:rFonts w:ascii="Times New Roman" w:eastAsia="Times New Roman" w:hAnsi="Times New Roman"/>
          <w:sz w:val="28"/>
          <w:szCs w:val="28"/>
          <w:lang w:val="uk-UA" w:eastAsia="ru-RU"/>
        </w:rPr>
        <w:t>-анал</w:t>
      </w:r>
      <w:r w:rsidR="005E035C" w:rsidRPr="00675164">
        <w:rPr>
          <w:rFonts w:ascii="Times New Roman" w:eastAsia="Times New Roman" w:hAnsi="Times New Roman"/>
          <w:sz w:val="28"/>
          <w:szCs w:val="28"/>
          <w:lang w:val="uk-UA" w:eastAsia="ru-RU"/>
        </w:rPr>
        <w:t>ізу</w:t>
      </w:r>
      <w:r w:rsidRPr="0067516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279D0" w:rsidRPr="00675164" w:rsidRDefault="001279D0" w:rsidP="00675164">
      <w:pPr>
        <w:spacing w:line="360" w:lineRule="auto"/>
        <w:ind w:firstLine="709"/>
        <w:rPr>
          <w:sz w:val="28"/>
          <w:szCs w:val="28"/>
          <w:lang w:val="uk-UA"/>
        </w:rPr>
        <w:sectPr w:rsidR="001279D0" w:rsidRPr="00675164" w:rsidSect="00675164">
          <w:headerReference w:type="even" r:id="rId8"/>
          <w:head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9194A" w:rsidRPr="00675164" w:rsidRDefault="00C9194A" w:rsidP="00675164">
      <w:pPr>
        <w:spacing w:line="360" w:lineRule="auto"/>
        <w:jc w:val="right"/>
        <w:rPr>
          <w:sz w:val="28"/>
          <w:szCs w:val="28"/>
          <w:lang w:val="uk-UA"/>
        </w:rPr>
      </w:pPr>
      <w:r w:rsidRPr="00675164">
        <w:rPr>
          <w:sz w:val="28"/>
          <w:szCs w:val="28"/>
          <w:lang w:val="uk-UA"/>
        </w:rPr>
        <w:lastRenderedPageBreak/>
        <w:t>Таблиц</w:t>
      </w:r>
      <w:r w:rsidR="003B54D9" w:rsidRPr="00675164">
        <w:rPr>
          <w:sz w:val="28"/>
          <w:szCs w:val="28"/>
          <w:lang w:val="uk-UA"/>
        </w:rPr>
        <w:t>я</w:t>
      </w:r>
      <w:r w:rsidRPr="00675164">
        <w:rPr>
          <w:sz w:val="28"/>
          <w:szCs w:val="28"/>
          <w:lang w:val="uk-UA"/>
        </w:rPr>
        <w:t xml:space="preserve"> </w:t>
      </w:r>
      <w:r w:rsidR="008F53E7" w:rsidRPr="00675164">
        <w:rPr>
          <w:sz w:val="28"/>
          <w:szCs w:val="28"/>
          <w:lang w:val="uk-UA"/>
        </w:rPr>
        <w:t>1</w:t>
      </w:r>
    </w:p>
    <w:p w:rsidR="00C9194A" w:rsidRPr="00675164" w:rsidRDefault="008F53E7" w:rsidP="00675164">
      <w:pPr>
        <w:keepNext/>
        <w:widowControl w:val="0"/>
        <w:tabs>
          <w:tab w:val="left" w:pos="900"/>
        </w:tabs>
        <w:spacing w:line="360" w:lineRule="auto"/>
        <w:jc w:val="center"/>
        <w:rPr>
          <w:sz w:val="28"/>
          <w:szCs w:val="28"/>
          <w:lang w:val="uk-UA"/>
        </w:rPr>
      </w:pPr>
      <w:r w:rsidRPr="00675164">
        <w:rPr>
          <w:sz w:val="28"/>
          <w:szCs w:val="28"/>
          <w:lang w:val="uk-UA"/>
        </w:rPr>
        <w:t>Препарат</w:t>
      </w:r>
      <w:r w:rsidR="003B54D9" w:rsidRPr="00675164">
        <w:rPr>
          <w:sz w:val="28"/>
          <w:szCs w:val="28"/>
          <w:lang w:val="uk-UA"/>
        </w:rPr>
        <w:t>и</w:t>
      </w:r>
      <w:r w:rsidR="00C9194A" w:rsidRPr="00675164">
        <w:rPr>
          <w:sz w:val="28"/>
          <w:szCs w:val="28"/>
          <w:lang w:val="uk-UA"/>
        </w:rPr>
        <w:t>-л</w:t>
      </w:r>
      <w:r w:rsidR="003B54D9" w:rsidRPr="00675164">
        <w:rPr>
          <w:sz w:val="28"/>
          <w:szCs w:val="28"/>
          <w:lang w:val="uk-UA"/>
        </w:rPr>
        <w:t>і</w:t>
      </w:r>
      <w:r w:rsidR="00C9194A" w:rsidRPr="00675164">
        <w:rPr>
          <w:sz w:val="28"/>
          <w:szCs w:val="28"/>
          <w:lang w:val="uk-UA"/>
        </w:rPr>
        <w:t>дер</w:t>
      </w:r>
      <w:r w:rsidR="003B54D9" w:rsidRPr="00675164">
        <w:rPr>
          <w:sz w:val="28"/>
          <w:szCs w:val="28"/>
          <w:lang w:val="uk-UA"/>
        </w:rPr>
        <w:t>и</w:t>
      </w:r>
      <w:r w:rsidR="00C9194A" w:rsidRPr="00675164">
        <w:rPr>
          <w:sz w:val="28"/>
          <w:szCs w:val="28"/>
          <w:lang w:val="uk-UA"/>
        </w:rPr>
        <w:t xml:space="preserve"> с</w:t>
      </w:r>
      <w:r w:rsidR="003B54D9" w:rsidRPr="00675164">
        <w:rPr>
          <w:sz w:val="28"/>
          <w:szCs w:val="28"/>
          <w:lang w:val="uk-UA"/>
        </w:rPr>
        <w:t>еред</w:t>
      </w:r>
      <w:r w:rsidRPr="00675164">
        <w:rPr>
          <w:sz w:val="28"/>
          <w:szCs w:val="28"/>
          <w:lang w:val="uk-UA"/>
        </w:rPr>
        <w:t xml:space="preserve"> </w:t>
      </w:r>
      <w:r w:rsidR="00C9194A" w:rsidRPr="00675164">
        <w:rPr>
          <w:sz w:val="28"/>
          <w:szCs w:val="28"/>
          <w:lang w:val="uk-UA"/>
        </w:rPr>
        <w:t xml:space="preserve">ТН </w:t>
      </w:r>
      <w:r w:rsidR="003B54D9" w:rsidRPr="00675164">
        <w:rPr>
          <w:sz w:val="28"/>
          <w:szCs w:val="28"/>
          <w:lang w:val="uk-UA"/>
        </w:rPr>
        <w:t>за частотою призначень пацієнтам дитячого віку з ХГД в гастроентерологічному відділенні одного з закладів охорони здоров'я м. Харкова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2976"/>
        <w:gridCol w:w="1418"/>
        <w:gridCol w:w="2126"/>
        <w:gridCol w:w="1418"/>
        <w:gridCol w:w="2126"/>
      </w:tblGrid>
      <w:tr w:rsidR="00094740" w:rsidRPr="00675164" w:rsidTr="00094740">
        <w:trPr>
          <w:trHeight w:val="20"/>
        </w:trPr>
        <w:tc>
          <w:tcPr>
            <w:tcW w:w="1384" w:type="dxa"/>
            <w:vAlign w:val="center"/>
          </w:tcPr>
          <w:p w:rsidR="003B54D9" w:rsidRPr="00675164" w:rsidRDefault="003B54D9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Місце у рейтингу</w:t>
            </w:r>
          </w:p>
        </w:tc>
        <w:tc>
          <w:tcPr>
            <w:tcW w:w="3119" w:type="dxa"/>
            <w:vAlign w:val="center"/>
          </w:tcPr>
          <w:p w:rsidR="003B54D9" w:rsidRPr="00675164" w:rsidRDefault="003B54D9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ТН, виробник</w:t>
            </w:r>
          </w:p>
        </w:tc>
        <w:tc>
          <w:tcPr>
            <w:tcW w:w="2976" w:type="dxa"/>
            <w:vAlign w:val="center"/>
          </w:tcPr>
          <w:p w:rsidR="003B54D9" w:rsidRPr="00675164" w:rsidRDefault="003B54D9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Форма випуску</w:t>
            </w:r>
          </w:p>
        </w:tc>
        <w:tc>
          <w:tcPr>
            <w:tcW w:w="1418" w:type="dxa"/>
            <w:vAlign w:val="center"/>
          </w:tcPr>
          <w:p w:rsidR="003B54D9" w:rsidRPr="00675164" w:rsidRDefault="003B54D9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Ціна</w:t>
            </w:r>
          </w:p>
          <w:p w:rsidR="003B54D9" w:rsidRPr="00675164" w:rsidRDefault="003B54D9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упаковки, грн</w:t>
            </w:r>
          </w:p>
        </w:tc>
        <w:tc>
          <w:tcPr>
            <w:tcW w:w="2126" w:type="dxa"/>
            <w:vAlign w:val="center"/>
          </w:tcPr>
          <w:p w:rsidR="003B54D9" w:rsidRPr="00675164" w:rsidRDefault="003B54D9" w:rsidP="00675164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75164">
              <w:rPr>
                <w:color w:val="000000"/>
                <w:sz w:val="28"/>
                <w:szCs w:val="28"/>
                <w:lang w:val="uk-UA"/>
              </w:rPr>
              <w:t>Середня вартість курсу лікування 1 хворого, грн</w:t>
            </w:r>
          </w:p>
        </w:tc>
        <w:tc>
          <w:tcPr>
            <w:tcW w:w="1418" w:type="dxa"/>
            <w:vAlign w:val="center"/>
          </w:tcPr>
          <w:p w:rsidR="003B54D9" w:rsidRPr="00675164" w:rsidRDefault="003B54D9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 xml:space="preserve">Кількість </w:t>
            </w:r>
            <w:proofErr w:type="spellStart"/>
            <w:r w:rsidRPr="00675164">
              <w:rPr>
                <w:sz w:val="28"/>
                <w:szCs w:val="28"/>
                <w:lang w:val="uk-UA"/>
              </w:rPr>
              <w:t>призна</w:t>
            </w:r>
            <w:r w:rsidR="005B4310" w:rsidRPr="00675164">
              <w:rPr>
                <w:sz w:val="28"/>
                <w:szCs w:val="28"/>
                <w:lang w:val="uk-UA"/>
              </w:rPr>
              <w:t>-</w:t>
            </w:r>
            <w:r w:rsidRPr="00675164">
              <w:rPr>
                <w:sz w:val="28"/>
                <w:szCs w:val="28"/>
                <w:lang w:val="uk-UA"/>
              </w:rPr>
              <w:t>чень</w:t>
            </w:r>
            <w:proofErr w:type="spellEnd"/>
          </w:p>
        </w:tc>
        <w:tc>
          <w:tcPr>
            <w:tcW w:w="2126" w:type="dxa"/>
            <w:vAlign w:val="center"/>
          </w:tcPr>
          <w:p w:rsidR="003B54D9" w:rsidRPr="00675164" w:rsidRDefault="003B54D9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% від загальної кількості призначень (n=411)</w:t>
            </w:r>
          </w:p>
        </w:tc>
      </w:tr>
      <w:tr w:rsidR="00094740" w:rsidRPr="00675164" w:rsidTr="00094740">
        <w:trPr>
          <w:trHeight w:val="20"/>
        </w:trPr>
        <w:tc>
          <w:tcPr>
            <w:tcW w:w="1384" w:type="dxa"/>
            <w:vAlign w:val="center"/>
          </w:tcPr>
          <w:p w:rsidR="005B4310" w:rsidRPr="00675164" w:rsidRDefault="005B4310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  <w:vAlign w:val="center"/>
          </w:tcPr>
          <w:p w:rsidR="005B4310" w:rsidRPr="00675164" w:rsidRDefault="005B4310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75164">
              <w:rPr>
                <w:sz w:val="28"/>
                <w:szCs w:val="28"/>
                <w:lang w:val="uk-UA"/>
              </w:rPr>
              <w:t>Фамотидин</w:t>
            </w:r>
            <w:proofErr w:type="spellEnd"/>
            <w:r w:rsidRPr="00675164">
              <w:rPr>
                <w:sz w:val="28"/>
                <w:szCs w:val="28"/>
                <w:lang w:val="uk-UA"/>
              </w:rPr>
              <w:t>, Дарниця</w:t>
            </w:r>
          </w:p>
        </w:tc>
        <w:tc>
          <w:tcPr>
            <w:tcW w:w="2976" w:type="dxa"/>
            <w:vAlign w:val="center"/>
          </w:tcPr>
          <w:p w:rsidR="005B4310" w:rsidRPr="00675164" w:rsidRDefault="005B4310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табл. в/о</w:t>
            </w:r>
            <w:r w:rsidR="00094740" w:rsidRPr="00675164">
              <w:rPr>
                <w:sz w:val="28"/>
                <w:szCs w:val="28"/>
                <w:lang w:val="uk-UA"/>
              </w:rPr>
              <w:t xml:space="preserve"> </w:t>
            </w:r>
            <w:r w:rsidRPr="00675164">
              <w:rPr>
                <w:sz w:val="28"/>
                <w:szCs w:val="28"/>
                <w:lang w:val="uk-UA"/>
              </w:rPr>
              <w:t>0,02 г № 20</w:t>
            </w:r>
          </w:p>
        </w:tc>
        <w:tc>
          <w:tcPr>
            <w:tcW w:w="1418" w:type="dxa"/>
            <w:vAlign w:val="center"/>
          </w:tcPr>
          <w:p w:rsidR="005B4310" w:rsidRPr="00675164" w:rsidRDefault="005B4310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7,38</w:t>
            </w:r>
          </w:p>
        </w:tc>
        <w:tc>
          <w:tcPr>
            <w:tcW w:w="2126" w:type="dxa"/>
            <w:vAlign w:val="center"/>
          </w:tcPr>
          <w:p w:rsidR="005B4310" w:rsidRPr="00675164" w:rsidRDefault="00B974BA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10,71</w:t>
            </w:r>
          </w:p>
        </w:tc>
        <w:tc>
          <w:tcPr>
            <w:tcW w:w="1418" w:type="dxa"/>
            <w:vAlign w:val="center"/>
          </w:tcPr>
          <w:p w:rsidR="005B4310" w:rsidRPr="00675164" w:rsidRDefault="005B4310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126" w:type="dxa"/>
            <w:vAlign w:val="center"/>
          </w:tcPr>
          <w:p w:rsidR="005B4310" w:rsidRPr="00675164" w:rsidRDefault="005B4310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8,75</w:t>
            </w:r>
          </w:p>
        </w:tc>
      </w:tr>
      <w:tr w:rsidR="00094740" w:rsidRPr="00675164" w:rsidTr="00094740">
        <w:trPr>
          <w:trHeight w:val="20"/>
        </w:trPr>
        <w:tc>
          <w:tcPr>
            <w:tcW w:w="1384" w:type="dxa"/>
            <w:vAlign w:val="center"/>
          </w:tcPr>
          <w:p w:rsidR="005B4310" w:rsidRPr="00675164" w:rsidRDefault="005B4310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  <w:vAlign w:val="center"/>
          </w:tcPr>
          <w:p w:rsidR="005B4310" w:rsidRPr="00675164" w:rsidRDefault="005B4310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75164">
              <w:rPr>
                <w:sz w:val="28"/>
                <w:szCs w:val="28"/>
                <w:lang w:val="uk-UA"/>
              </w:rPr>
              <w:t>Смекта</w:t>
            </w:r>
            <w:proofErr w:type="spellEnd"/>
            <w:r w:rsidRPr="00675164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75164">
              <w:rPr>
                <w:sz w:val="28"/>
                <w:szCs w:val="28"/>
                <w:lang w:val="uk-UA"/>
              </w:rPr>
              <w:t>Ipsen</w:t>
            </w:r>
            <w:proofErr w:type="spellEnd"/>
            <w:r w:rsidRPr="0067516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75164">
              <w:rPr>
                <w:sz w:val="28"/>
                <w:szCs w:val="28"/>
                <w:lang w:val="uk-UA"/>
              </w:rPr>
              <w:t>Pharma</w:t>
            </w:r>
            <w:proofErr w:type="spellEnd"/>
          </w:p>
        </w:tc>
        <w:tc>
          <w:tcPr>
            <w:tcW w:w="2976" w:type="dxa"/>
            <w:vAlign w:val="center"/>
          </w:tcPr>
          <w:p w:rsidR="005B4310" w:rsidRPr="00675164" w:rsidRDefault="005B4310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пор. д/п сусп. д/</w:t>
            </w:r>
            <w:proofErr w:type="spellStart"/>
            <w:r w:rsidRPr="00675164">
              <w:rPr>
                <w:sz w:val="28"/>
                <w:szCs w:val="28"/>
                <w:lang w:val="uk-UA"/>
              </w:rPr>
              <w:t>перор</w:t>
            </w:r>
            <w:proofErr w:type="spellEnd"/>
            <w:r w:rsidRPr="00675164">
              <w:rPr>
                <w:sz w:val="28"/>
                <w:szCs w:val="28"/>
                <w:lang w:val="uk-UA"/>
              </w:rPr>
              <w:t>. заст. 3 г пакетик №30</w:t>
            </w:r>
          </w:p>
        </w:tc>
        <w:tc>
          <w:tcPr>
            <w:tcW w:w="1418" w:type="dxa"/>
            <w:vAlign w:val="center"/>
          </w:tcPr>
          <w:p w:rsidR="005B4310" w:rsidRPr="00675164" w:rsidRDefault="005B4310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214,36</w:t>
            </w:r>
          </w:p>
        </w:tc>
        <w:tc>
          <w:tcPr>
            <w:tcW w:w="2126" w:type="dxa"/>
            <w:vAlign w:val="center"/>
          </w:tcPr>
          <w:p w:rsidR="005B4310" w:rsidRPr="00675164" w:rsidRDefault="00B974BA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285,86</w:t>
            </w:r>
          </w:p>
        </w:tc>
        <w:tc>
          <w:tcPr>
            <w:tcW w:w="1418" w:type="dxa"/>
            <w:vAlign w:val="center"/>
          </w:tcPr>
          <w:p w:rsidR="005B4310" w:rsidRPr="00675164" w:rsidRDefault="005B4310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126" w:type="dxa"/>
            <w:vAlign w:val="center"/>
          </w:tcPr>
          <w:p w:rsidR="005B4310" w:rsidRPr="00675164" w:rsidRDefault="005B4310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6,57</w:t>
            </w:r>
          </w:p>
        </w:tc>
      </w:tr>
      <w:tr w:rsidR="00094740" w:rsidRPr="00675164" w:rsidTr="00094740">
        <w:trPr>
          <w:trHeight w:val="20"/>
        </w:trPr>
        <w:tc>
          <w:tcPr>
            <w:tcW w:w="1384" w:type="dxa"/>
            <w:vAlign w:val="center"/>
          </w:tcPr>
          <w:p w:rsidR="005B4310" w:rsidRPr="00675164" w:rsidRDefault="005B4310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19" w:type="dxa"/>
            <w:vAlign w:val="center"/>
          </w:tcPr>
          <w:p w:rsidR="005B4310" w:rsidRPr="00675164" w:rsidRDefault="005B4310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75164">
              <w:rPr>
                <w:sz w:val="28"/>
                <w:szCs w:val="28"/>
                <w:lang w:val="uk-UA"/>
              </w:rPr>
              <w:t>Вікалін</w:t>
            </w:r>
            <w:proofErr w:type="spellEnd"/>
            <w:r w:rsidRPr="00675164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75164">
              <w:rPr>
                <w:sz w:val="28"/>
                <w:szCs w:val="28"/>
                <w:lang w:val="uk-UA"/>
              </w:rPr>
              <w:t>Галичфарм</w:t>
            </w:r>
            <w:proofErr w:type="spellEnd"/>
          </w:p>
        </w:tc>
        <w:tc>
          <w:tcPr>
            <w:tcW w:w="2976" w:type="dxa"/>
            <w:vAlign w:val="center"/>
          </w:tcPr>
          <w:p w:rsidR="005B4310" w:rsidRPr="00675164" w:rsidRDefault="005B4310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табл. № 10</w:t>
            </w:r>
          </w:p>
        </w:tc>
        <w:tc>
          <w:tcPr>
            <w:tcW w:w="1418" w:type="dxa"/>
            <w:vAlign w:val="center"/>
          </w:tcPr>
          <w:p w:rsidR="005B4310" w:rsidRPr="00675164" w:rsidRDefault="005B4310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12,62</w:t>
            </w:r>
          </w:p>
        </w:tc>
        <w:tc>
          <w:tcPr>
            <w:tcW w:w="2126" w:type="dxa"/>
            <w:vAlign w:val="center"/>
          </w:tcPr>
          <w:p w:rsidR="005B4310" w:rsidRPr="00675164" w:rsidRDefault="00B974BA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51,98</w:t>
            </w:r>
          </w:p>
        </w:tc>
        <w:tc>
          <w:tcPr>
            <w:tcW w:w="1418" w:type="dxa"/>
            <w:vAlign w:val="center"/>
          </w:tcPr>
          <w:p w:rsidR="005B4310" w:rsidRPr="00675164" w:rsidRDefault="005B4310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126" w:type="dxa"/>
            <w:vAlign w:val="center"/>
          </w:tcPr>
          <w:p w:rsidR="005B4310" w:rsidRPr="00675164" w:rsidRDefault="005B4310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5,84</w:t>
            </w:r>
          </w:p>
        </w:tc>
      </w:tr>
      <w:tr w:rsidR="00D908B9" w:rsidRPr="00675164" w:rsidTr="00094740">
        <w:trPr>
          <w:trHeight w:val="20"/>
        </w:trPr>
        <w:tc>
          <w:tcPr>
            <w:tcW w:w="1384" w:type="dxa"/>
            <w:vMerge w:val="restart"/>
            <w:vAlign w:val="center"/>
          </w:tcPr>
          <w:p w:rsidR="005B4310" w:rsidRPr="00675164" w:rsidRDefault="005B4310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19" w:type="dxa"/>
            <w:vAlign w:val="center"/>
          </w:tcPr>
          <w:p w:rsidR="005B4310" w:rsidRPr="00675164" w:rsidRDefault="005B4310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75164">
              <w:rPr>
                <w:sz w:val="28"/>
                <w:szCs w:val="28"/>
                <w:lang w:val="uk-UA"/>
              </w:rPr>
              <w:t>Артихол</w:t>
            </w:r>
            <w:proofErr w:type="spellEnd"/>
            <w:r w:rsidRPr="00675164">
              <w:rPr>
                <w:sz w:val="28"/>
                <w:szCs w:val="28"/>
                <w:lang w:val="uk-UA"/>
              </w:rPr>
              <w:t xml:space="preserve"> 200, </w:t>
            </w:r>
            <w:r w:rsidR="00094740" w:rsidRPr="00675164">
              <w:rPr>
                <w:sz w:val="28"/>
                <w:szCs w:val="28"/>
                <w:lang w:val="uk-UA"/>
              </w:rPr>
              <w:t>К</w:t>
            </w:r>
            <w:r w:rsidRPr="00675164">
              <w:rPr>
                <w:sz w:val="28"/>
                <w:szCs w:val="28"/>
                <w:lang w:val="uk-UA"/>
              </w:rPr>
              <w:t>иївський вітамінний завод</w:t>
            </w:r>
          </w:p>
        </w:tc>
        <w:tc>
          <w:tcPr>
            <w:tcW w:w="2976" w:type="dxa"/>
            <w:vAlign w:val="center"/>
          </w:tcPr>
          <w:p w:rsidR="005B4310" w:rsidRPr="00675164" w:rsidRDefault="005B4310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 xml:space="preserve">табл. </w:t>
            </w:r>
            <w:r w:rsidR="00110B09" w:rsidRPr="00675164">
              <w:rPr>
                <w:sz w:val="28"/>
                <w:szCs w:val="28"/>
                <w:lang w:val="uk-UA"/>
              </w:rPr>
              <w:t>в</w:t>
            </w:r>
            <w:r w:rsidRPr="00675164">
              <w:rPr>
                <w:sz w:val="28"/>
                <w:szCs w:val="28"/>
                <w:lang w:val="uk-UA"/>
              </w:rPr>
              <w:t>/о 200 мг блістер №30</w:t>
            </w:r>
          </w:p>
        </w:tc>
        <w:tc>
          <w:tcPr>
            <w:tcW w:w="1418" w:type="dxa"/>
            <w:vAlign w:val="center"/>
          </w:tcPr>
          <w:p w:rsidR="005B4310" w:rsidRPr="00675164" w:rsidRDefault="005B4310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37,86</w:t>
            </w:r>
          </w:p>
        </w:tc>
        <w:tc>
          <w:tcPr>
            <w:tcW w:w="2126" w:type="dxa"/>
            <w:vAlign w:val="center"/>
          </w:tcPr>
          <w:p w:rsidR="005B4310" w:rsidRPr="00675164" w:rsidRDefault="00B974BA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86,63</w:t>
            </w:r>
          </w:p>
        </w:tc>
        <w:tc>
          <w:tcPr>
            <w:tcW w:w="1418" w:type="dxa"/>
            <w:vAlign w:val="center"/>
          </w:tcPr>
          <w:p w:rsidR="005B4310" w:rsidRPr="00675164" w:rsidRDefault="005B4310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126" w:type="dxa"/>
            <w:vAlign w:val="center"/>
          </w:tcPr>
          <w:p w:rsidR="005B4310" w:rsidRPr="00675164" w:rsidRDefault="005B4310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5,11</w:t>
            </w:r>
          </w:p>
        </w:tc>
      </w:tr>
      <w:tr w:rsidR="00D908B9" w:rsidRPr="00675164" w:rsidTr="00094740">
        <w:trPr>
          <w:trHeight w:val="20"/>
        </w:trPr>
        <w:tc>
          <w:tcPr>
            <w:tcW w:w="1384" w:type="dxa"/>
            <w:vMerge/>
            <w:vAlign w:val="center"/>
          </w:tcPr>
          <w:p w:rsidR="005B4310" w:rsidRPr="00675164" w:rsidRDefault="005B4310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5B4310" w:rsidRPr="00675164" w:rsidRDefault="005B4310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75164">
              <w:rPr>
                <w:sz w:val="28"/>
                <w:szCs w:val="28"/>
                <w:lang w:val="uk-UA"/>
              </w:rPr>
              <w:t>Фосфалюгель</w:t>
            </w:r>
            <w:proofErr w:type="spellEnd"/>
            <w:r w:rsidRPr="00675164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75164">
              <w:rPr>
                <w:sz w:val="28"/>
                <w:szCs w:val="28"/>
                <w:lang w:val="uk-UA"/>
              </w:rPr>
              <w:t>Astellas</w:t>
            </w:r>
            <w:proofErr w:type="spellEnd"/>
            <w:r w:rsidRPr="0067516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75164">
              <w:rPr>
                <w:sz w:val="28"/>
                <w:szCs w:val="28"/>
                <w:lang w:val="uk-UA"/>
              </w:rPr>
              <w:t>Pharma</w:t>
            </w:r>
            <w:proofErr w:type="spellEnd"/>
            <w:r w:rsidRPr="0067516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75164">
              <w:rPr>
                <w:sz w:val="28"/>
                <w:szCs w:val="28"/>
                <w:lang w:val="uk-UA"/>
              </w:rPr>
              <w:t>Europe</w:t>
            </w:r>
            <w:proofErr w:type="spellEnd"/>
          </w:p>
        </w:tc>
        <w:tc>
          <w:tcPr>
            <w:tcW w:w="2976" w:type="dxa"/>
            <w:vAlign w:val="center"/>
          </w:tcPr>
          <w:p w:rsidR="005B4310" w:rsidRPr="00675164" w:rsidRDefault="005B4310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гель д/</w:t>
            </w:r>
            <w:proofErr w:type="spellStart"/>
            <w:r w:rsidRPr="00675164">
              <w:rPr>
                <w:sz w:val="28"/>
                <w:szCs w:val="28"/>
                <w:lang w:val="uk-UA"/>
              </w:rPr>
              <w:t>перорал</w:t>
            </w:r>
            <w:proofErr w:type="spellEnd"/>
            <w:r w:rsidRPr="00675164">
              <w:rPr>
                <w:sz w:val="28"/>
                <w:szCs w:val="28"/>
                <w:lang w:val="uk-UA"/>
              </w:rPr>
              <w:t>. заст. пакет 20 г № 20</w:t>
            </w:r>
          </w:p>
        </w:tc>
        <w:tc>
          <w:tcPr>
            <w:tcW w:w="1418" w:type="dxa"/>
            <w:vAlign w:val="center"/>
          </w:tcPr>
          <w:p w:rsidR="005B4310" w:rsidRPr="00675164" w:rsidRDefault="005B4310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141,37</w:t>
            </w:r>
          </w:p>
        </w:tc>
        <w:tc>
          <w:tcPr>
            <w:tcW w:w="2126" w:type="dxa"/>
            <w:vAlign w:val="center"/>
          </w:tcPr>
          <w:p w:rsidR="005B4310" w:rsidRPr="00675164" w:rsidRDefault="00B974BA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174,73</w:t>
            </w:r>
          </w:p>
        </w:tc>
        <w:tc>
          <w:tcPr>
            <w:tcW w:w="1418" w:type="dxa"/>
            <w:vAlign w:val="center"/>
          </w:tcPr>
          <w:p w:rsidR="005B4310" w:rsidRPr="00675164" w:rsidRDefault="005B4310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126" w:type="dxa"/>
            <w:vAlign w:val="center"/>
          </w:tcPr>
          <w:p w:rsidR="005B4310" w:rsidRPr="00675164" w:rsidRDefault="005B4310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5,11</w:t>
            </w:r>
          </w:p>
        </w:tc>
      </w:tr>
      <w:tr w:rsidR="005B4310" w:rsidRPr="00675164" w:rsidTr="00094740">
        <w:trPr>
          <w:trHeight w:val="20"/>
        </w:trPr>
        <w:tc>
          <w:tcPr>
            <w:tcW w:w="1384" w:type="dxa"/>
            <w:vMerge w:val="restart"/>
            <w:vAlign w:val="center"/>
          </w:tcPr>
          <w:p w:rsidR="005B4310" w:rsidRPr="00675164" w:rsidRDefault="005B4310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19" w:type="dxa"/>
            <w:vAlign w:val="center"/>
          </w:tcPr>
          <w:p w:rsidR="005B4310" w:rsidRPr="00675164" w:rsidRDefault="005B4310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75164">
              <w:rPr>
                <w:sz w:val="28"/>
                <w:szCs w:val="28"/>
                <w:lang w:val="uk-UA"/>
              </w:rPr>
              <w:t>Маалокс</w:t>
            </w:r>
            <w:proofErr w:type="spellEnd"/>
            <w:r w:rsidRPr="00675164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75164">
              <w:rPr>
                <w:sz w:val="28"/>
                <w:szCs w:val="28"/>
                <w:lang w:val="uk-UA"/>
              </w:rPr>
              <w:t>Санофі-Авентіс</w:t>
            </w:r>
            <w:proofErr w:type="spellEnd"/>
            <w:r w:rsidRPr="0067516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110B09" w:rsidRPr="00675164" w:rsidRDefault="005B4310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 xml:space="preserve">сусп. </w:t>
            </w:r>
            <w:proofErr w:type="spellStart"/>
            <w:r w:rsidRPr="00675164">
              <w:rPr>
                <w:sz w:val="28"/>
                <w:szCs w:val="28"/>
                <w:lang w:val="uk-UA"/>
              </w:rPr>
              <w:t>оральн</w:t>
            </w:r>
            <w:proofErr w:type="spellEnd"/>
            <w:r w:rsidRPr="00675164">
              <w:rPr>
                <w:sz w:val="28"/>
                <w:szCs w:val="28"/>
                <w:lang w:val="uk-UA"/>
              </w:rPr>
              <w:t xml:space="preserve">. </w:t>
            </w:r>
          </w:p>
          <w:p w:rsidR="005B4310" w:rsidRPr="00675164" w:rsidRDefault="005B4310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75164">
              <w:rPr>
                <w:sz w:val="28"/>
                <w:szCs w:val="28"/>
                <w:lang w:val="uk-UA"/>
              </w:rPr>
              <w:t>фл</w:t>
            </w:r>
            <w:proofErr w:type="spellEnd"/>
            <w:r w:rsidRPr="00675164">
              <w:rPr>
                <w:sz w:val="28"/>
                <w:szCs w:val="28"/>
                <w:lang w:val="uk-UA"/>
              </w:rPr>
              <w:t xml:space="preserve">. 250 </w:t>
            </w:r>
            <w:proofErr w:type="spellStart"/>
            <w:r w:rsidRPr="00675164">
              <w:rPr>
                <w:sz w:val="28"/>
                <w:szCs w:val="28"/>
                <w:lang w:val="uk-UA"/>
              </w:rPr>
              <w:t>мл</w:t>
            </w:r>
            <w:proofErr w:type="spellEnd"/>
            <w:r w:rsidRPr="00675164">
              <w:rPr>
                <w:sz w:val="28"/>
                <w:szCs w:val="28"/>
                <w:lang w:val="uk-UA"/>
              </w:rPr>
              <w:t>, №1</w:t>
            </w:r>
          </w:p>
        </w:tc>
        <w:tc>
          <w:tcPr>
            <w:tcW w:w="1418" w:type="dxa"/>
            <w:vAlign w:val="center"/>
          </w:tcPr>
          <w:p w:rsidR="005B4310" w:rsidRPr="00675164" w:rsidRDefault="005B4310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100,08</w:t>
            </w:r>
          </w:p>
        </w:tc>
        <w:tc>
          <w:tcPr>
            <w:tcW w:w="2126" w:type="dxa"/>
            <w:vAlign w:val="center"/>
          </w:tcPr>
          <w:p w:rsidR="005B4310" w:rsidRPr="00675164" w:rsidRDefault="00B974BA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100,08</w:t>
            </w:r>
          </w:p>
        </w:tc>
        <w:tc>
          <w:tcPr>
            <w:tcW w:w="1418" w:type="dxa"/>
            <w:vAlign w:val="center"/>
          </w:tcPr>
          <w:p w:rsidR="005B4310" w:rsidRPr="00675164" w:rsidRDefault="005B4310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126" w:type="dxa"/>
            <w:vAlign w:val="center"/>
          </w:tcPr>
          <w:p w:rsidR="005B4310" w:rsidRPr="00675164" w:rsidRDefault="005B4310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4,38</w:t>
            </w:r>
          </w:p>
        </w:tc>
      </w:tr>
      <w:tr w:rsidR="005B4310" w:rsidRPr="00675164" w:rsidTr="00094740">
        <w:trPr>
          <w:trHeight w:val="20"/>
        </w:trPr>
        <w:tc>
          <w:tcPr>
            <w:tcW w:w="1384" w:type="dxa"/>
            <w:vMerge/>
            <w:vAlign w:val="center"/>
          </w:tcPr>
          <w:p w:rsidR="005B4310" w:rsidRPr="00675164" w:rsidRDefault="005B4310" w:rsidP="00675164">
            <w:pPr>
              <w:pStyle w:val="a7"/>
              <w:spacing w:after="0" w:line="360" w:lineRule="auto"/>
              <w:ind w:left="38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5B4310" w:rsidRPr="00675164" w:rsidRDefault="005B4310" w:rsidP="0067516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675164">
              <w:rPr>
                <w:sz w:val="28"/>
                <w:szCs w:val="28"/>
                <w:lang w:val="uk-UA"/>
              </w:rPr>
              <w:t>Артихол</w:t>
            </w:r>
            <w:proofErr w:type="spellEnd"/>
            <w:r w:rsidRPr="00675164">
              <w:rPr>
                <w:sz w:val="28"/>
                <w:szCs w:val="28"/>
                <w:lang w:val="uk-UA"/>
              </w:rPr>
              <w:t xml:space="preserve"> 400, Київський вітамінний завод</w:t>
            </w:r>
          </w:p>
        </w:tc>
        <w:tc>
          <w:tcPr>
            <w:tcW w:w="2976" w:type="dxa"/>
            <w:vAlign w:val="center"/>
          </w:tcPr>
          <w:p w:rsidR="005B4310" w:rsidRPr="00675164" w:rsidRDefault="005B4310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</w:rPr>
              <w:t xml:space="preserve">табл. </w:t>
            </w:r>
            <w:proofErr w:type="gramStart"/>
            <w:r w:rsidR="00094740" w:rsidRPr="00675164">
              <w:rPr>
                <w:sz w:val="28"/>
                <w:szCs w:val="28"/>
                <w:lang w:val="uk-UA"/>
              </w:rPr>
              <w:t>в</w:t>
            </w:r>
            <w:r w:rsidRPr="00675164">
              <w:rPr>
                <w:sz w:val="28"/>
                <w:szCs w:val="28"/>
              </w:rPr>
              <w:t>/</w:t>
            </w:r>
            <w:r w:rsidRPr="00675164">
              <w:rPr>
                <w:sz w:val="28"/>
                <w:szCs w:val="28"/>
                <w:lang w:val="uk-UA"/>
              </w:rPr>
              <w:t>о</w:t>
            </w:r>
            <w:proofErr w:type="gramEnd"/>
            <w:r w:rsidRPr="00675164">
              <w:rPr>
                <w:sz w:val="28"/>
                <w:szCs w:val="28"/>
              </w:rPr>
              <w:t xml:space="preserve"> 400 мг</w:t>
            </w:r>
            <w:r w:rsidR="00110B09" w:rsidRPr="00675164">
              <w:rPr>
                <w:sz w:val="28"/>
                <w:szCs w:val="28"/>
                <w:lang w:val="uk-UA"/>
              </w:rPr>
              <w:t>,</w:t>
            </w:r>
            <w:r w:rsidRPr="00675164">
              <w:rPr>
                <w:sz w:val="28"/>
                <w:szCs w:val="28"/>
              </w:rPr>
              <w:t xml:space="preserve"> </w:t>
            </w:r>
            <w:proofErr w:type="spellStart"/>
            <w:r w:rsidRPr="00675164">
              <w:rPr>
                <w:sz w:val="28"/>
                <w:szCs w:val="28"/>
              </w:rPr>
              <w:t>бл</w:t>
            </w:r>
            <w:proofErr w:type="spellEnd"/>
            <w:r w:rsidRPr="00675164">
              <w:rPr>
                <w:sz w:val="28"/>
                <w:szCs w:val="28"/>
                <w:lang w:val="uk-UA"/>
              </w:rPr>
              <w:t>і</w:t>
            </w:r>
            <w:r w:rsidRPr="00675164">
              <w:rPr>
                <w:sz w:val="28"/>
                <w:szCs w:val="28"/>
              </w:rPr>
              <w:t>стер №40</w:t>
            </w:r>
          </w:p>
        </w:tc>
        <w:tc>
          <w:tcPr>
            <w:tcW w:w="1418" w:type="dxa"/>
            <w:vAlign w:val="center"/>
          </w:tcPr>
          <w:p w:rsidR="005B4310" w:rsidRPr="00675164" w:rsidRDefault="005B4310" w:rsidP="0067516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75164">
              <w:rPr>
                <w:sz w:val="28"/>
                <w:szCs w:val="28"/>
                <w:lang w:val="uk-UA"/>
              </w:rPr>
              <w:t>89,8</w:t>
            </w:r>
          </w:p>
        </w:tc>
        <w:tc>
          <w:tcPr>
            <w:tcW w:w="2126" w:type="dxa"/>
            <w:vAlign w:val="center"/>
          </w:tcPr>
          <w:p w:rsidR="005B4310" w:rsidRPr="00675164" w:rsidRDefault="00B974BA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94,50</w:t>
            </w:r>
          </w:p>
        </w:tc>
        <w:tc>
          <w:tcPr>
            <w:tcW w:w="1418" w:type="dxa"/>
            <w:vAlign w:val="center"/>
          </w:tcPr>
          <w:p w:rsidR="005B4310" w:rsidRPr="00675164" w:rsidRDefault="00B974BA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126" w:type="dxa"/>
            <w:vAlign w:val="center"/>
          </w:tcPr>
          <w:p w:rsidR="005B4310" w:rsidRPr="00675164" w:rsidRDefault="00B974BA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4,38</w:t>
            </w:r>
          </w:p>
        </w:tc>
      </w:tr>
    </w:tbl>
    <w:p w:rsidR="00C9194A" w:rsidRPr="00675164" w:rsidRDefault="00C9194A" w:rsidP="00675164">
      <w:pPr>
        <w:spacing w:line="360" w:lineRule="auto"/>
        <w:rPr>
          <w:i/>
          <w:sz w:val="28"/>
          <w:szCs w:val="28"/>
        </w:rPr>
        <w:sectPr w:rsidR="00C9194A" w:rsidRPr="00675164" w:rsidSect="0067516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279D0" w:rsidRPr="00675164" w:rsidRDefault="001279D0" w:rsidP="00675164">
      <w:pPr>
        <w:tabs>
          <w:tab w:val="left" w:pos="7230"/>
        </w:tabs>
        <w:spacing w:line="360" w:lineRule="auto"/>
        <w:jc w:val="right"/>
        <w:rPr>
          <w:sz w:val="28"/>
          <w:szCs w:val="28"/>
          <w:lang w:val="uk-UA"/>
        </w:rPr>
      </w:pPr>
      <w:r w:rsidRPr="00675164">
        <w:rPr>
          <w:sz w:val="28"/>
          <w:szCs w:val="28"/>
          <w:lang w:val="uk-UA"/>
        </w:rPr>
        <w:lastRenderedPageBreak/>
        <w:t>Таблиц</w:t>
      </w:r>
      <w:r w:rsidR="000B1166" w:rsidRPr="00675164">
        <w:rPr>
          <w:sz w:val="28"/>
          <w:szCs w:val="28"/>
          <w:lang w:val="uk-UA"/>
        </w:rPr>
        <w:t>я</w:t>
      </w:r>
      <w:r w:rsidR="001F72A4" w:rsidRPr="00675164">
        <w:rPr>
          <w:sz w:val="28"/>
          <w:szCs w:val="28"/>
          <w:lang w:val="uk-UA"/>
        </w:rPr>
        <w:t xml:space="preserve"> 2</w:t>
      </w:r>
    </w:p>
    <w:p w:rsidR="000B1166" w:rsidRPr="00675164" w:rsidRDefault="00B00288" w:rsidP="00675164">
      <w:pPr>
        <w:keepNext/>
        <w:widowControl w:val="0"/>
        <w:tabs>
          <w:tab w:val="left" w:pos="900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Найбільш витратні ТН ЛП</w:t>
      </w:r>
      <w:r w:rsidR="001F72A4" w:rsidRPr="00675164">
        <w:rPr>
          <w:sz w:val="28"/>
          <w:szCs w:val="28"/>
          <w:lang w:val="uk-UA"/>
        </w:rPr>
        <w:t xml:space="preserve"> груп</w:t>
      </w:r>
      <w:r w:rsidR="000B1166" w:rsidRPr="00675164">
        <w:rPr>
          <w:sz w:val="28"/>
          <w:szCs w:val="28"/>
          <w:lang w:val="uk-UA"/>
        </w:rPr>
        <w:t>и</w:t>
      </w:r>
      <w:r w:rsidR="001F72A4" w:rsidRPr="00675164">
        <w:rPr>
          <w:sz w:val="28"/>
          <w:szCs w:val="28"/>
          <w:lang w:val="uk-UA"/>
        </w:rPr>
        <w:t xml:space="preserve"> А (</w:t>
      </w:r>
      <w:r w:rsidR="000B1166" w:rsidRPr="00675164">
        <w:rPr>
          <w:sz w:val="28"/>
          <w:szCs w:val="28"/>
          <w:lang w:val="uk-UA"/>
        </w:rPr>
        <w:t xml:space="preserve">за результатами </w:t>
      </w:r>
      <w:proofErr w:type="spellStart"/>
      <w:r w:rsidR="000B1166" w:rsidRPr="00675164">
        <w:rPr>
          <w:sz w:val="28"/>
          <w:szCs w:val="28"/>
          <w:lang w:val="uk-UA"/>
        </w:rPr>
        <w:t>А</w:t>
      </w:r>
      <w:r w:rsidR="001F72A4" w:rsidRPr="00675164">
        <w:rPr>
          <w:sz w:val="28"/>
          <w:szCs w:val="28"/>
          <w:lang w:val="uk-UA"/>
        </w:rPr>
        <w:t>ВС-анал</w:t>
      </w:r>
      <w:r w:rsidR="000B1166" w:rsidRPr="00675164">
        <w:rPr>
          <w:sz w:val="28"/>
          <w:szCs w:val="28"/>
          <w:lang w:val="uk-UA"/>
        </w:rPr>
        <w:t>ізу</w:t>
      </w:r>
      <w:proofErr w:type="spellEnd"/>
      <w:r w:rsidR="001F72A4" w:rsidRPr="00675164">
        <w:rPr>
          <w:sz w:val="28"/>
          <w:szCs w:val="28"/>
          <w:lang w:val="uk-UA"/>
        </w:rPr>
        <w:t xml:space="preserve">), </w:t>
      </w:r>
      <w:r w:rsidR="000B1166" w:rsidRPr="00675164">
        <w:rPr>
          <w:sz w:val="28"/>
          <w:szCs w:val="28"/>
          <w:lang w:val="uk-UA"/>
        </w:rPr>
        <w:t xml:space="preserve">які призначались пацієнтам дитячого віку з ХГД </w:t>
      </w:r>
    </w:p>
    <w:p w:rsidR="000B1166" w:rsidRPr="00675164" w:rsidRDefault="000B1166" w:rsidP="00675164">
      <w:pPr>
        <w:keepNext/>
        <w:widowControl w:val="0"/>
        <w:tabs>
          <w:tab w:val="left" w:pos="900"/>
        </w:tabs>
        <w:spacing w:line="360" w:lineRule="auto"/>
        <w:jc w:val="center"/>
        <w:rPr>
          <w:sz w:val="28"/>
          <w:szCs w:val="28"/>
          <w:lang w:val="uk-UA"/>
        </w:rPr>
      </w:pPr>
      <w:r w:rsidRPr="00675164">
        <w:rPr>
          <w:sz w:val="28"/>
          <w:szCs w:val="28"/>
          <w:lang w:val="uk-UA"/>
        </w:rPr>
        <w:t>в гастроентерологічному відділенні одного з закладів охорони здоров'я м. Харкова</w:t>
      </w:r>
    </w:p>
    <w:tbl>
      <w:tblPr>
        <w:tblW w:w="14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5"/>
        <w:gridCol w:w="2977"/>
        <w:gridCol w:w="2893"/>
        <w:gridCol w:w="1501"/>
        <w:gridCol w:w="1985"/>
        <w:gridCol w:w="1417"/>
        <w:gridCol w:w="1276"/>
        <w:gridCol w:w="1334"/>
      </w:tblGrid>
      <w:tr w:rsidR="000B1166" w:rsidRPr="00675164" w:rsidTr="00C47EA5">
        <w:trPr>
          <w:trHeight w:val="1710"/>
          <w:jc w:val="center"/>
        </w:trPr>
        <w:tc>
          <w:tcPr>
            <w:tcW w:w="1365" w:type="dxa"/>
            <w:vAlign w:val="center"/>
          </w:tcPr>
          <w:p w:rsidR="000B1166" w:rsidRPr="00675164" w:rsidRDefault="000B1166" w:rsidP="00675164">
            <w:pPr>
              <w:spacing w:line="360" w:lineRule="auto"/>
              <w:jc w:val="center"/>
              <w:rPr>
                <w:bCs/>
                <w:sz w:val="28"/>
                <w:szCs w:val="28"/>
                <w:highlight w:val="yellow"/>
                <w:lang w:val="uk-UA" w:eastAsia="uk-UA"/>
              </w:rPr>
            </w:pPr>
            <w:r w:rsidRPr="00675164">
              <w:rPr>
                <w:sz w:val="28"/>
                <w:szCs w:val="28"/>
                <w:lang w:val="uk-UA"/>
              </w:rPr>
              <w:t>Місце у рейтингу</w:t>
            </w:r>
          </w:p>
        </w:tc>
        <w:tc>
          <w:tcPr>
            <w:tcW w:w="2977" w:type="dxa"/>
            <w:vAlign w:val="center"/>
          </w:tcPr>
          <w:p w:rsidR="000B1166" w:rsidRPr="00675164" w:rsidRDefault="00C47EA5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ТН, виробник</w:t>
            </w:r>
          </w:p>
        </w:tc>
        <w:tc>
          <w:tcPr>
            <w:tcW w:w="2893" w:type="dxa"/>
            <w:vAlign w:val="center"/>
          </w:tcPr>
          <w:p w:rsidR="000B1166" w:rsidRPr="00675164" w:rsidRDefault="000B1166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Форма</w:t>
            </w:r>
          </w:p>
          <w:p w:rsidR="000B1166" w:rsidRPr="00675164" w:rsidRDefault="000B1166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випуску</w:t>
            </w:r>
          </w:p>
        </w:tc>
        <w:tc>
          <w:tcPr>
            <w:tcW w:w="1501" w:type="dxa"/>
            <w:vAlign w:val="center"/>
          </w:tcPr>
          <w:p w:rsidR="000B1166" w:rsidRPr="00675164" w:rsidRDefault="000B1166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Ціна</w:t>
            </w:r>
          </w:p>
          <w:p w:rsidR="000B1166" w:rsidRPr="00675164" w:rsidRDefault="000B1166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упаковки, грн</w:t>
            </w:r>
          </w:p>
        </w:tc>
        <w:tc>
          <w:tcPr>
            <w:tcW w:w="1985" w:type="dxa"/>
            <w:vAlign w:val="center"/>
          </w:tcPr>
          <w:p w:rsidR="000B1166" w:rsidRPr="00675164" w:rsidRDefault="000B1166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Середня</w:t>
            </w:r>
          </w:p>
          <w:p w:rsidR="000B1166" w:rsidRPr="00675164" w:rsidRDefault="000B1166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вартість курсу лікування 1 хворого, грн</w:t>
            </w:r>
          </w:p>
        </w:tc>
        <w:tc>
          <w:tcPr>
            <w:tcW w:w="1417" w:type="dxa"/>
            <w:vAlign w:val="center"/>
          </w:tcPr>
          <w:p w:rsidR="000B1166" w:rsidRPr="00675164" w:rsidRDefault="000B1166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 xml:space="preserve">Кількість </w:t>
            </w:r>
            <w:proofErr w:type="spellStart"/>
            <w:r w:rsidRPr="00675164">
              <w:rPr>
                <w:sz w:val="28"/>
                <w:szCs w:val="28"/>
                <w:lang w:val="uk-UA"/>
              </w:rPr>
              <w:t>приз-</w:t>
            </w:r>
            <w:proofErr w:type="spellEnd"/>
            <w:r w:rsidRPr="00675164"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675164">
              <w:rPr>
                <w:sz w:val="28"/>
                <w:szCs w:val="28"/>
                <w:lang w:val="uk-UA"/>
              </w:rPr>
              <w:t>начень</w:t>
            </w:r>
            <w:proofErr w:type="spellEnd"/>
          </w:p>
        </w:tc>
        <w:tc>
          <w:tcPr>
            <w:tcW w:w="1276" w:type="dxa"/>
            <w:vAlign w:val="center"/>
          </w:tcPr>
          <w:p w:rsidR="000B1166" w:rsidRPr="00675164" w:rsidRDefault="000B1166" w:rsidP="00675164">
            <w:pPr>
              <w:spacing w:line="360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675164">
              <w:rPr>
                <w:bCs/>
                <w:sz w:val="28"/>
                <w:szCs w:val="28"/>
                <w:lang w:val="uk-UA" w:eastAsia="uk-UA"/>
              </w:rPr>
              <w:t>Сума</w:t>
            </w:r>
          </w:p>
          <w:p w:rsidR="000B1166" w:rsidRPr="00675164" w:rsidRDefault="000B1166" w:rsidP="00675164">
            <w:pPr>
              <w:spacing w:line="360" w:lineRule="auto"/>
              <w:jc w:val="center"/>
              <w:rPr>
                <w:bCs/>
                <w:sz w:val="28"/>
                <w:szCs w:val="28"/>
                <w:lang w:eastAsia="uk-UA"/>
              </w:rPr>
            </w:pPr>
            <w:r w:rsidRPr="00675164">
              <w:rPr>
                <w:bCs/>
                <w:sz w:val="28"/>
                <w:szCs w:val="28"/>
                <w:lang w:val="uk-UA" w:eastAsia="uk-UA"/>
              </w:rPr>
              <w:t xml:space="preserve">витрат на ЛП, </w:t>
            </w:r>
            <w:proofErr w:type="spellStart"/>
            <w:r w:rsidRPr="00675164">
              <w:rPr>
                <w:bCs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  <w:tc>
          <w:tcPr>
            <w:tcW w:w="1334" w:type="dxa"/>
            <w:vAlign w:val="center"/>
          </w:tcPr>
          <w:p w:rsidR="000B1166" w:rsidRPr="00675164" w:rsidRDefault="000B1166" w:rsidP="00675164">
            <w:pPr>
              <w:spacing w:line="360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675164">
              <w:rPr>
                <w:bCs/>
                <w:sz w:val="28"/>
                <w:szCs w:val="28"/>
                <w:lang w:val="uk-UA" w:eastAsia="uk-UA"/>
              </w:rPr>
              <w:t>% від</w:t>
            </w:r>
          </w:p>
          <w:p w:rsidR="000B1166" w:rsidRPr="00675164" w:rsidRDefault="000B1166" w:rsidP="00675164">
            <w:pPr>
              <w:spacing w:line="360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675164">
              <w:rPr>
                <w:bCs/>
                <w:sz w:val="28"/>
                <w:szCs w:val="28"/>
                <w:lang w:val="uk-UA" w:eastAsia="uk-UA"/>
              </w:rPr>
              <w:t>загальної</w:t>
            </w:r>
          </w:p>
          <w:p w:rsidR="000B1166" w:rsidRPr="00675164" w:rsidRDefault="000B1166" w:rsidP="00675164">
            <w:pPr>
              <w:spacing w:line="360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675164">
              <w:rPr>
                <w:bCs/>
                <w:sz w:val="28"/>
                <w:szCs w:val="28"/>
                <w:lang w:val="uk-UA" w:eastAsia="uk-UA"/>
              </w:rPr>
              <w:t>суми</w:t>
            </w:r>
          </w:p>
          <w:p w:rsidR="000B1166" w:rsidRPr="00675164" w:rsidRDefault="000B1166" w:rsidP="00675164">
            <w:pPr>
              <w:spacing w:line="360" w:lineRule="auto"/>
              <w:jc w:val="center"/>
              <w:rPr>
                <w:bCs/>
                <w:sz w:val="28"/>
                <w:szCs w:val="28"/>
                <w:lang w:eastAsia="uk-UA"/>
              </w:rPr>
            </w:pPr>
            <w:r w:rsidRPr="00675164">
              <w:rPr>
                <w:bCs/>
                <w:sz w:val="28"/>
                <w:szCs w:val="28"/>
                <w:lang w:val="uk-UA" w:eastAsia="uk-UA"/>
              </w:rPr>
              <w:t>витрат</w:t>
            </w:r>
          </w:p>
        </w:tc>
      </w:tr>
      <w:tr w:rsidR="000B1166" w:rsidRPr="00675164" w:rsidTr="00C47EA5">
        <w:trPr>
          <w:trHeight w:val="777"/>
          <w:jc w:val="center"/>
        </w:trPr>
        <w:tc>
          <w:tcPr>
            <w:tcW w:w="1365" w:type="dxa"/>
            <w:vAlign w:val="center"/>
          </w:tcPr>
          <w:p w:rsidR="000B1166" w:rsidRPr="00675164" w:rsidRDefault="000B1166" w:rsidP="00675164">
            <w:pPr>
              <w:pStyle w:val="a7"/>
              <w:spacing w:after="0" w:line="360" w:lineRule="auto"/>
              <w:ind w:left="0" w:hanging="224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7516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977" w:type="dxa"/>
            <w:vAlign w:val="center"/>
          </w:tcPr>
          <w:p w:rsidR="000B1166" w:rsidRPr="00675164" w:rsidRDefault="000B1166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75164">
              <w:rPr>
                <w:sz w:val="28"/>
                <w:szCs w:val="28"/>
                <w:lang w:val="uk-UA"/>
              </w:rPr>
              <w:t>Смекта</w:t>
            </w:r>
            <w:proofErr w:type="spellEnd"/>
            <w:r w:rsidRPr="00675164">
              <w:rPr>
                <w:sz w:val="28"/>
                <w:szCs w:val="28"/>
                <w:lang w:val="uk-UA"/>
              </w:rPr>
              <w:t xml:space="preserve">, </w:t>
            </w:r>
          </w:p>
          <w:p w:rsidR="000B1166" w:rsidRPr="00675164" w:rsidRDefault="000B1166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75164">
              <w:rPr>
                <w:sz w:val="28"/>
                <w:szCs w:val="28"/>
                <w:lang w:val="uk-UA"/>
              </w:rPr>
              <w:t>Ipsen</w:t>
            </w:r>
            <w:proofErr w:type="spellEnd"/>
            <w:r w:rsidRPr="0067516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75164">
              <w:rPr>
                <w:sz w:val="28"/>
                <w:szCs w:val="28"/>
                <w:lang w:val="uk-UA"/>
              </w:rPr>
              <w:t>Pharma</w:t>
            </w:r>
            <w:proofErr w:type="spellEnd"/>
          </w:p>
        </w:tc>
        <w:tc>
          <w:tcPr>
            <w:tcW w:w="2893" w:type="dxa"/>
            <w:vAlign w:val="center"/>
          </w:tcPr>
          <w:p w:rsidR="000B1166" w:rsidRPr="00675164" w:rsidRDefault="000B1166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пор. д/п сусп. д/</w:t>
            </w:r>
            <w:proofErr w:type="spellStart"/>
            <w:r w:rsidRPr="00675164">
              <w:rPr>
                <w:sz w:val="28"/>
                <w:szCs w:val="28"/>
                <w:lang w:val="uk-UA"/>
              </w:rPr>
              <w:t>перор</w:t>
            </w:r>
            <w:proofErr w:type="spellEnd"/>
            <w:r w:rsidRPr="00675164">
              <w:rPr>
                <w:sz w:val="28"/>
                <w:szCs w:val="28"/>
                <w:lang w:val="uk-UA"/>
              </w:rPr>
              <w:t>. заст. 3 г пакетик, ванільний, №30</w:t>
            </w:r>
          </w:p>
        </w:tc>
        <w:tc>
          <w:tcPr>
            <w:tcW w:w="1501" w:type="dxa"/>
            <w:vAlign w:val="center"/>
          </w:tcPr>
          <w:p w:rsidR="000B1166" w:rsidRPr="00675164" w:rsidRDefault="000B1166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214,36</w:t>
            </w:r>
          </w:p>
        </w:tc>
        <w:tc>
          <w:tcPr>
            <w:tcW w:w="1985" w:type="dxa"/>
            <w:vAlign w:val="center"/>
          </w:tcPr>
          <w:p w:rsidR="000B1166" w:rsidRPr="00675164" w:rsidRDefault="000B1166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285,86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1166" w:rsidRPr="00675164" w:rsidRDefault="000B1166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276" w:type="dxa"/>
            <w:vAlign w:val="center"/>
          </w:tcPr>
          <w:p w:rsidR="000B1166" w:rsidRPr="00675164" w:rsidRDefault="000B1166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7718,22</w:t>
            </w:r>
          </w:p>
        </w:tc>
        <w:tc>
          <w:tcPr>
            <w:tcW w:w="1334" w:type="dxa"/>
            <w:vAlign w:val="center"/>
          </w:tcPr>
          <w:p w:rsidR="000B1166" w:rsidRPr="00675164" w:rsidRDefault="000B1166" w:rsidP="006751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5164">
              <w:rPr>
                <w:sz w:val="28"/>
                <w:szCs w:val="28"/>
                <w:lang w:val="uk-UA"/>
              </w:rPr>
              <w:t>19,93</w:t>
            </w:r>
          </w:p>
        </w:tc>
      </w:tr>
      <w:tr w:rsidR="000B1166" w:rsidRPr="00675164" w:rsidTr="00C47EA5">
        <w:trPr>
          <w:trHeight w:val="790"/>
          <w:jc w:val="center"/>
        </w:trPr>
        <w:tc>
          <w:tcPr>
            <w:tcW w:w="1365" w:type="dxa"/>
            <w:vAlign w:val="center"/>
          </w:tcPr>
          <w:p w:rsidR="000B1166" w:rsidRPr="00675164" w:rsidRDefault="000B1166" w:rsidP="00675164">
            <w:pPr>
              <w:pStyle w:val="a7"/>
              <w:spacing w:after="0" w:line="360" w:lineRule="auto"/>
              <w:ind w:left="0" w:hanging="224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7516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977" w:type="dxa"/>
            <w:vAlign w:val="center"/>
          </w:tcPr>
          <w:p w:rsidR="000B1166" w:rsidRPr="00675164" w:rsidRDefault="000B1166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75164">
              <w:rPr>
                <w:sz w:val="28"/>
                <w:szCs w:val="28"/>
                <w:lang w:val="uk-UA"/>
              </w:rPr>
              <w:t>Іберогаст</w:t>
            </w:r>
            <w:proofErr w:type="spellEnd"/>
            <w:r w:rsidRPr="00675164">
              <w:rPr>
                <w:sz w:val="28"/>
                <w:szCs w:val="28"/>
                <w:lang w:val="uk-UA"/>
              </w:rPr>
              <w:t xml:space="preserve">, </w:t>
            </w:r>
          </w:p>
          <w:p w:rsidR="000B1166" w:rsidRPr="00675164" w:rsidRDefault="000B1166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en-US"/>
              </w:rPr>
              <w:t>Bayer</w:t>
            </w:r>
            <w:r w:rsidRPr="00675164">
              <w:rPr>
                <w:sz w:val="28"/>
                <w:szCs w:val="28"/>
                <w:lang w:val="uk-UA"/>
              </w:rPr>
              <w:t xml:space="preserve"> </w:t>
            </w:r>
            <w:r w:rsidRPr="00675164">
              <w:rPr>
                <w:sz w:val="28"/>
                <w:szCs w:val="28"/>
                <w:lang w:val="en-US"/>
              </w:rPr>
              <w:t>Consumer</w:t>
            </w:r>
            <w:r w:rsidRPr="00675164">
              <w:rPr>
                <w:sz w:val="28"/>
                <w:szCs w:val="28"/>
                <w:lang w:val="uk-UA"/>
              </w:rPr>
              <w:t xml:space="preserve"> </w:t>
            </w:r>
            <w:r w:rsidRPr="00675164">
              <w:rPr>
                <w:sz w:val="28"/>
                <w:szCs w:val="28"/>
                <w:lang w:val="en-US"/>
              </w:rPr>
              <w:t>Care</w:t>
            </w:r>
          </w:p>
        </w:tc>
        <w:tc>
          <w:tcPr>
            <w:tcW w:w="2893" w:type="dxa"/>
            <w:vAlign w:val="center"/>
          </w:tcPr>
          <w:p w:rsidR="000B1166" w:rsidRPr="00675164" w:rsidRDefault="000B1166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 xml:space="preserve">кап. орал. </w:t>
            </w:r>
            <w:proofErr w:type="spellStart"/>
            <w:r w:rsidRPr="00675164">
              <w:rPr>
                <w:sz w:val="28"/>
                <w:szCs w:val="28"/>
                <w:lang w:val="uk-UA"/>
              </w:rPr>
              <w:t>фл</w:t>
            </w:r>
            <w:proofErr w:type="spellEnd"/>
            <w:r w:rsidRPr="00675164">
              <w:rPr>
                <w:sz w:val="28"/>
                <w:szCs w:val="28"/>
                <w:lang w:val="uk-UA"/>
              </w:rPr>
              <w:t xml:space="preserve">. 50 </w:t>
            </w:r>
            <w:proofErr w:type="spellStart"/>
            <w:r w:rsidRPr="00675164">
              <w:rPr>
                <w:sz w:val="28"/>
                <w:szCs w:val="28"/>
                <w:lang w:val="uk-UA"/>
              </w:rPr>
              <w:t>мл</w:t>
            </w:r>
            <w:proofErr w:type="spellEnd"/>
            <w:r w:rsidRPr="00675164">
              <w:rPr>
                <w:sz w:val="28"/>
                <w:szCs w:val="28"/>
                <w:lang w:val="uk-UA"/>
              </w:rPr>
              <w:t>, № 1</w:t>
            </w:r>
          </w:p>
        </w:tc>
        <w:tc>
          <w:tcPr>
            <w:tcW w:w="1501" w:type="dxa"/>
            <w:vAlign w:val="center"/>
          </w:tcPr>
          <w:p w:rsidR="000B1166" w:rsidRPr="00675164" w:rsidRDefault="000B1166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280,25</w:t>
            </w:r>
          </w:p>
        </w:tc>
        <w:tc>
          <w:tcPr>
            <w:tcW w:w="1985" w:type="dxa"/>
            <w:vAlign w:val="center"/>
          </w:tcPr>
          <w:p w:rsidR="000B1166" w:rsidRPr="00675164" w:rsidRDefault="000B1166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392,35</w:t>
            </w:r>
          </w:p>
        </w:tc>
        <w:tc>
          <w:tcPr>
            <w:tcW w:w="1417" w:type="dxa"/>
            <w:vAlign w:val="center"/>
          </w:tcPr>
          <w:p w:rsidR="000B1166" w:rsidRPr="00675164" w:rsidRDefault="000B1166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276" w:type="dxa"/>
            <w:vAlign w:val="center"/>
          </w:tcPr>
          <w:p w:rsidR="000B1166" w:rsidRPr="00675164" w:rsidRDefault="000B1166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5885,25</w:t>
            </w:r>
          </w:p>
        </w:tc>
        <w:tc>
          <w:tcPr>
            <w:tcW w:w="1334" w:type="dxa"/>
            <w:vAlign w:val="center"/>
          </w:tcPr>
          <w:p w:rsidR="000B1166" w:rsidRPr="00675164" w:rsidRDefault="000B1166" w:rsidP="006751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5164">
              <w:rPr>
                <w:sz w:val="28"/>
                <w:szCs w:val="28"/>
                <w:lang w:val="uk-UA"/>
              </w:rPr>
              <w:t>15,2</w:t>
            </w:r>
          </w:p>
        </w:tc>
      </w:tr>
      <w:tr w:rsidR="000B1166" w:rsidRPr="00675164" w:rsidTr="00C47EA5">
        <w:trPr>
          <w:trHeight w:val="805"/>
          <w:jc w:val="center"/>
        </w:trPr>
        <w:tc>
          <w:tcPr>
            <w:tcW w:w="1365" w:type="dxa"/>
            <w:vAlign w:val="center"/>
          </w:tcPr>
          <w:p w:rsidR="000B1166" w:rsidRPr="00675164" w:rsidRDefault="000B1166" w:rsidP="00675164">
            <w:pPr>
              <w:pStyle w:val="a7"/>
              <w:spacing w:after="0" w:line="360" w:lineRule="auto"/>
              <w:ind w:left="0" w:hanging="224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7516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977" w:type="dxa"/>
            <w:vAlign w:val="center"/>
          </w:tcPr>
          <w:p w:rsidR="000B1166" w:rsidRPr="00675164" w:rsidRDefault="000B1166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75164">
              <w:rPr>
                <w:sz w:val="28"/>
                <w:szCs w:val="28"/>
                <w:lang w:val="uk-UA"/>
              </w:rPr>
              <w:t>Фосфалюгель</w:t>
            </w:r>
            <w:proofErr w:type="spellEnd"/>
            <w:r w:rsidRPr="00675164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75164">
              <w:rPr>
                <w:sz w:val="28"/>
                <w:szCs w:val="28"/>
                <w:lang w:val="uk-UA"/>
              </w:rPr>
              <w:t>Astellas</w:t>
            </w:r>
            <w:proofErr w:type="spellEnd"/>
            <w:r w:rsidRPr="0067516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75164">
              <w:rPr>
                <w:sz w:val="28"/>
                <w:szCs w:val="28"/>
                <w:lang w:val="uk-UA"/>
              </w:rPr>
              <w:t>Pharma</w:t>
            </w:r>
            <w:proofErr w:type="spellEnd"/>
            <w:r w:rsidRPr="0067516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75164">
              <w:rPr>
                <w:sz w:val="28"/>
                <w:szCs w:val="28"/>
                <w:lang w:val="uk-UA"/>
              </w:rPr>
              <w:t>Europe</w:t>
            </w:r>
            <w:proofErr w:type="spellEnd"/>
          </w:p>
        </w:tc>
        <w:tc>
          <w:tcPr>
            <w:tcW w:w="2893" w:type="dxa"/>
            <w:vAlign w:val="center"/>
          </w:tcPr>
          <w:p w:rsidR="000B1166" w:rsidRPr="00675164" w:rsidRDefault="000B1166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гель д/</w:t>
            </w:r>
            <w:proofErr w:type="spellStart"/>
            <w:r w:rsidRPr="00675164">
              <w:rPr>
                <w:sz w:val="28"/>
                <w:szCs w:val="28"/>
                <w:lang w:val="uk-UA"/>
              </w:rPr>
              <w:t>перорал</w:t>
            </w:r>
            <w:proofErr w:type="spellEnd"/>
            <w:r w:rsidRPr="00675164">
              <w:rPr>
                <w:sz w:val="28"/>
                <w:szCs w:val="28"/>
                <w:lang w:val="uk-UA"/>
              </w:rPr>
              <w:t>. заст. пакет 20 г, № 20</w:t>
            </w:r>
          </w:p>
        </w:tc>
        <w:tc>
          <w:tcPr>
            <w:tcW w:w="1501" w:type="dxa"/>
            <w:vAlign w:val="center"/>
          </w:tcPr>
          <w:p w:rsidR="000B1166" w:rsidRPr="00675164" w:rsidRDefault="000B1166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141,37</w:t>
            </w:r>
          </w:p>
        </w:tc>
        <w:tc>
          <w:tcPr>
            <w:tcW w:w="1985" w:type="dxa"/>
            <w:vAlign w:val="center"/>
          </w:tcPr>
          <w:p w:rsidR="000B1166" w:rsidRPr="00675164" w:rsidRDefault="000B1166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174,73</w:t>
            </w:r>
          </w:p>
        </w:tc>
        <w:tc>
          <w:tcPr>
            <w:tcW w:w="1417" w:type="dxa"/>
            <w:vAlign w:val="center"/>
          </w:tcPr>
          <w:p w:rsidR="000B1166" w:rsidRPr="00675164" w:rsidRDefault="000B1166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276" w:type="dxa"/>
            <w:vAlign w:val="center"/>
          </w:tcPr>
          <w:p w:rsidR="000B1166" w:rsidRPr="00675164" w:rsidRDefault="000B1166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3669,33</w:t>
            </w:r>
          </w:p>
        </w:tc>
        <w:tc>
          <w:tcPr>
            <w:tcW w:w="1334" w:type="dxa"/>
            <w:vAlign w:val="center"/>
          </w:tcPr>
          <w:p w:rsidR="000B1166" w:rsidRPr="00675164" w:rsidRDefault="000B1166" w:rsidP="006751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5164">
              <w:rPr>
                <w:sz w:val="28"/>
                <w:szCs w:val="28"/>
                <w:lang w:val="uk-UA"/>
              </w:rPr>
              <w:t>9,48</w:t>
            </w:r>
          </w:p>
        </w:tc>
      </w:tr>
      <w:tr w:rsidR="000B1166" w:rsidRPr="00675164" w:rsidTr="00C47EA5">
        <w:trPr>
          <w:trHeight w:val="965"/>
          <w:jc w:val="center"/>
        </w:trPr>
        <w:tc>
          <w:tcPr>
            <w:tcW w:w="1365" w:type="dxa"/>
            <w:vAlign w:val="center"/>
          </w:tcPr>
          <w:p w:rsidR="000B1166" w:rsidRPr="00675164" w:rsidRDefault="000B1166" w:rsidP="00675164">
            <w:pPr>
              <w:pStyle w:val="a7"/>
              <w:spacing w:after="0" w:line="360" w:lineRule="auto"/>
              <w:ind w:left="0" w:hanging="224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7516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2977" w:type="dxa"/>
            <w:vAlign w:val="center"/>
          </w:tcPr>
          <w:p w:rsidR="000B1166" w:rsidRPr="00675164" w:rsidRDefault="000B1166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75164">
              <w:rPr>
                <w:sz w:val="28"/>
                <w:szCs w:val="28"/>
                <w:lang w:val="uk-UA"/>
              </w:rPr>
              <w:t>Артихол</w:t>
            </w:r>
            <w:proofErr w:type="spellEnd"/>
            <w:r w:rsidRPr="00675164">
              <w:rPr>
                <w:sz w:val="28"/>
                <w:szCs w:val="28"/>
                <w:lang w:val="uk-UA"/>
              </w:rPr>
              <w:t xml:space="preserve"> 200, Київський вітамінний завод</w:t>
            </w:r>
          </w:p>
        </w:tc>
        <w:tc>
          <w:tcPr>
            <w:tcW w:w="2893" w:type="dxa"/>
            <w:vAlign w:val="center"/>
          </w:tcPr>
          <w:p w:rsidR="000B1166" w:rsidRPr="00675164" w:rsidRDefault="000B1166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табл. п/</w:t>
            </w:r>
            <w:proofErr w:type="spellStart"/>
            <w:r w:rsidRPr="00675164">
              <w:rPr>
                <w:sz w:val="28"/>
                <w:szCs w:val="28"/>
                <w:lang w:val="uk-UA"/>
              </w:rPr>
              <w:t>обол</w:t>
            </w:r>
            <w:proofErr w:type="spellEnd"/>
            <w:r w:rsidRPr="00675164">
              <w:rPr>
                <w:sz w:val="28"/>
                <w:szCs w:val="28"/>
                <w:lang w:val="uk-UA"/>
              </w:rPr>
              <w:t xml:space="preserve"> 200 мг блістер, №30</w:t>
            </w:r>
          </w:p>
        </w:tc>
        <w:tc>
          <w:tcPr>
            <w:tcW w:w="1501" w:type="dxa"/>
            <w:vAlign w:val="center"/>
          </w:tcPr>
          <w:p w:rsidR="000B1166" w:rsidRPr="00675164" w:rsidRDefault="000B1166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37,86</w:t>
            </w:r>
          </w:p>
        </w:tc>
        <w:tc>
          <w:tcPr>
            <w:tcW w:w="1985" w:type="dxa"/>
            <w:vAlign w:val="center"/>
          </w:tcPr>
          <w:p w:rsidR="000B1166" w:rsidRPr="00675164" w:rsidRDefault="000B1166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86,63</w:t>
            </w:r>
          </w:p>
        </w:tc>
        <w:tc>
          <w:tcPr>
            <w:tcW w:w="1417" w:type="dxa"/>
            <w:vAlign w:val="center"/>
          </w:tcPr>
          <w:p w:rsidR="000B1166" w:rsidRPr="00675164" w:rsidRDefault="000B1166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276" w:type="dxa"/>
            <w:vAlign w:val="center"/>
          </w:tcPr>
          <w:p w:rsidR="000B1166" w:rsidRPr="00675164" w:rsidRDefault="000B1166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1819,23</w:t>
            </w:r>
          </w:p>
        </w:tc>
        <w:tc>
          <w:tcPr>
            <w:tcW w:w="1334" w:type="dxa"/>
            <w:vAlign w:val="center"/>
          </w:tcPr>
          <w:p w:rsidR="000B1166" w:rsidRPr="00675164" w:rsidRDefault="000B1166" w:rsidP="006751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5164">
              <w:rPr>
                <w:sz w:val="28"/>
                <w:szCs w:val="28"/>
                <w:lang w:val="uk-UA"/>
              </w:rPr>
              <w:t>4,7</w:t>
            </w:r>
          </w:p>
        </w:tc>
      </w:tr>
      <w:tr w:rsidR="000B1166" w:rsidRPr="00675164" w:rsidTr="00C47EA5">
        <w:trPr>
          <w:trHeight w:val="981"/>
          <w:jc w:val="center"/>
        </w:trPr>
        <w:tc>
          <w:tcPr>
            <w:tcW w:w="1365" w:type="dxa"/>
            <w:vAlign w:val="center"/>
          </w:tcPr>
          <w:p w:rsidR="000B1166" w:rsidRPr="00675164" w:rsidRDefault="000B1166" w:rsidP="00675164">
            <w:pPr>
              <w:pStyle w:val="a7"/>
              <w:spacing w:after="0" w:line="360" w:lineRule="auto"/>
              <w:ind w:left="0" w:hanging="224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7516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2977" w:type="dxa"/>
            <w:vAlign w:val="center"/>
          </w:tcPr>
          <w:p w:rsidR="000B1166" w:rsidRPr="00675164" w:rsidRDefault="000B1166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75164">
              <w:rPr>
                <w:sz w:val="28"/>
                <w:szCs w:val="28"/>
                <w:lang w:val="uk-UA"/>
              </w:rPr>
              <w:t>Маалокс</w:t>
            </w:r>
            <w:proofErr w:type="spellEnd"/>
            <w:r w:rsidRPr="00675164">
              <w:rPr>
                <w:sz w:val="28"/>
                <w:szCs w:val="28"/>
                <w:lang w:val="uk-UA"/>
              </w:rPr>
              <w:t>,</w:t>
            </w:r>
          </w:p>
          <w:p w:rsidR="000B1166" w:rsidRPr="00675164" w:rsidRDefault="000B1166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75164">
              <w:rPr>
                <w:sz w:val="28"/>
                <w:szCs w:val="28"/>
                <w:lang w:val="uk-UA"/>
              </w:rPr>
              <w:t>Санофі-Авентіс</w:t>
            </w:r>
            <w:proofErr w:type="spellEnd"/>
          </w:p>
        </w:tc>
        <w:tc>
          <w:tcPr>
            <w:tcW w:w="2893" w:type="dxa"/>
            <w:vAlign w:val="center"/>
          </w:tcPr>
          <w:p w:rsidR="000B1166" w:rsidRPr="00675164" w:rsidRDefault="000B1166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 xml:space="preserve">сусп. </w:t>
            </w:r>
            <w:proofErr w:type="spellStart"/>
            <w:r w:rsidRPr="00675164">
              <w:rPr>
                <w:sz w:val="28"/>
                <w:szCs w:val="28"/>
                <w:lang w:val="uk-UA"/>
              </w:rPr>
              <w:t>оральн</w:t>
            </w:r>
            <w:proofErr w:type="spellEnd"/>
            <w:r w:rsidRPr="00675164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75164">
              <w:rPr>
                <w:sz w:val="28"/>
                <w:szCs w:val="28"/>
                <w:lang w:val="uk-UA"/>
              </w:rPr>
              <w:t>фл</w:t>
            </w:r>
            <w:proofErr w:type="spellEnd"/>
            <w:r w:rsidRPr="00675164">
              <w:rPr>
                <w:sz w:val="28"/>
                <w:szCs w:val="28"/>
                <w:lang w:val="uk-UA"/>
              </w:rPr>
              <w:t xml:space="preserve">. 250 </w:t>
            </w:r>
            <w:proofErr w:type="spellStart"/>
            <w:r w:rsidRPr="00675164">
              <w:rPr>
                <w:sz w:val="28"/>
                <w:szCs w:val="28"/>
                <w:lang w:val="uk-UA"/>
              </w:rPr>
              <w:t>мл</w:t>
            </w:r>
            <w:proofErr w:type="spellEnd"/>
            <w:r w:rsidRPr="00675164">
              <w:rPr>
                <w:sz w:val="28"/>
                <w:szCs w:val="28"/>
                <w:lang w:val="uk-UA"/>
              </w:rPr>
              <w:t>, №1</w:t>
            </w:r>
          </w:p>
        </w:tc>
        <w:tc>
          <w:tcPr>
            <w:tcW w:w="1501" w:type="dxa"/>
            <w:vAlign w:val="center"/>
          </w:tcPr>
          <w:p w:rsidR="000B1166" w:rsidRPr="00675164" w:rsidRDefault="000B1166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100,08</w:t>
            </w:r>
          </w:p>
        </w:tc>
        <w:tc>
          <w:tcPr>
            <w:tcW w:w="1985" w:type="dxa"/>
            <w:vAlign w:val="center"/>
          </w:tcPr>
          <w:p w:rsidR="000B1166" w:rsidRPr="00675164" w:rsidRDefault="000B1166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100,08</w:t>
            </w:r>
          </w:p>
        </w:tc>
        <w:tc>
          <w:tcPr>
            <w:tcW w:w="1417" w:type="dxa"/>
            <w:vAlign w:val="center"/>
          </w:tcPr>
          <w:p w:rsidR="000B1166" w:rsidRPr="00675164" w:rsidRDefault="000B1166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276" w:type="dxa"/>
            <w:vAlign w:val="center"/>
          </w:tcPr>
          <w:p w:rsidR="000B1166" w:rsidRPr="00675164" w:rsidRDefault="000B1166" w:rsidP="006751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75164">
              <w:rPr>
                <w:sz w:val="28"/>
                <w:szCs w:val="28"/>
                <w:lang w:val="uk-UA"/>
              </w:rPr>
              <w:t>1801,44</w:t>
            </w:r>
          </w:p>
        </w:tc>
        <w:tc>
          <w:tcPr>
            <w:tcW w:w="1334" w:type="dxa"/>
            <w:vAlign w:val="center"/>
          </w:tcPr>
          <w:p w:rsidR="000B1166" w:rsidRPr="00675164" w:rsidRDefault="000B1166" w:rsidP="006751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5164">
              <w:rPr>
                <w:sz w:val="28"/>
                <w:szCs w:val="28"/>
              </w:rPr>
              <w:t>4,65</w:t>
            </w:r>
          </w:p>
        </w:tc>
      </w:tr>
    </w:tbl>
    <w:p w:rsidR="00C9194A" w:rsidRPr="00675164" w:rsidRDefault="00C9194A" w:rsidP="00675164">
      <w:pPr>
        <w:spacing w:line="360" w:lineRule="auto"/>
        <w:rPr>
          <w:sz w:val="28"/>
          <w:szCs w:val="28"/>
          <w:lang w:val="uk-UA"/>
        </w:rPr>
        <w:sectPr w:rsidR="00C9194A" w:rsidRPr="00675164" w:rsidSect="0067516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A3F7C" w:rsidRPr="00675164" w:rsidRDefault="00D908B9" w:rsidP="00675164">
      <w:pPr>
        <w:tabs>
          <w:tab w:val="left" w:pos="3675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675164">
        <w:rPr>
          <w:b/>
          <w:sz w:val="28"/>
          <w:szCs w:val="28"/>
          <w:lang w:val="uk-UA"/>
        </w:rPr>
        <w:lastRenderedPageBreak/>
        <w:t>Перелік використаної літератури</w:t>
      </w:r>
      <w:r w:rsidR="00FA3F7C" w:rsidRPr="00675164">
        <w:rPr>
          <w:b/>
          <w:sz w:val="28"/>
          <w:szCs w:val="28"/>
        </w:rPr>
        <w:t>:</w:t>
      </w:r>
    </w:p>
    <w:p w:rsidR="00B729EA" w:rsidRPr="00675164" w:rsidRDefault="00B729EA" w:rsidP="00675164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</w:pPr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>Бекетова Г.</w:t>
      </w:r>
      <w:r w:rsidR="002711B5"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val="uk-UA" w:eastAsia="ru-RU"/>
        </w:rPr>
        <w:t xml:space="preserve"> </w:t>
      </w:r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 xml:space="preserve">В. </w:t>
      </w:r>
      <w:proofErr w:type="spellStart"/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>Хронічний</w:t>
      </w:r>
      <w:proofErr w:type="spellEnd"/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>гастродуоденіт</w:t>
      </w:r>
      <w:proofErr w:type="spellEnd"/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 xml:space="preserve"> у </w:t>
      </w:r>
      <w:proofErr w:type="spellStart"/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>дітей</w:t>
      </w:r>
      <w:proofErr w:type="spellEnd"/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 xml:space="preserve"> і </w:t>
      </w:r>
      <w:proofErr w:type="spellStart"/>
      <w:proofErr w:type="gramStart"/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>п</w:t>
      </w:r>
      <w:proofErr w:type="gramEnd"/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>ідлітків</w:t>
      </w:r>
      <w:proofErr w:type="spellEnd"/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 xml:space="preserve">: </w:t>
      </w:r>
      <w:proofErr w:type="spellStart"/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>епідеміологія</w:t>
      </w:r>
      <w:proofErr w:type="spellEnd"/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 xml:space="preserve">, </w:t>
      </w:r>
      <w:proofErr w:type="spellStart"/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>етіологія</w:t>
      </w:r>
      <w:proofErr w:type="spellEnd"/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 xml:space="preserve">, патогенез, </w:t>
      </w:r>
      <w:proofErr w:type="spellStart"/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>діагностика</w:t>
      </w:r>
      <w:proofErr w:type="spellEnd"/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 xml:space="preserve"> (</w:t>
      </w:r>
      <w:proofErr w:type="spellStart"/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>частина</w:t>
      </w:r>
      <w:proofErr w:type="spellEnd"/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 xml:space="preserve"> І) </w:t>
      </w:r>
      <w:r w:rsidR="002711B5"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val="uk-UA" w:eastAsia="ru-RU"/>
        </w:rPr>
        <w:t xml:space="preserve">/ </w:t>
      </w:r>
      <w:r w:rsidR="002711B5"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>Г.</w:t>
      </w:r>
      <w:r w:rsidR="002711B5"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val="uk-UA" w:eastAsia="ru-RU"/>
        </w:rPr>
        <w:t xml:space="preserve"> </w:t>
      </w:r>
      <w:r w:rsidR="002711B5"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 xml:space="preserve">В. Бекетова </w:t>
      </w:r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 xml:space="preserve">// Дитячий </w:t>
      </w:r>
      <w:proofErr w:type="spellStart"/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>лікар</w:t>
      </w:r>
      <w:proofErr w:type="spellEnd"/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 xml:space="preserve">. </w:t>
      </w:r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sym w:font="Symbol" w:char="F02D"/>
      </w:r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 xml:space="preserve"> 2012. </w:t>
      </w:r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sym w:font="Symbol" w:char="F02D"/>
      </w:r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 xml:space="preserve"> №6</w:t>
      </w:r>
      <w:r w:rsidR="00F6659D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val="uk-UA" w:eastAsia="ru-RU"/>
        </w:rPr>
        <w:t xml:space="preserve"> </w:t>
      </w:r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 xml:space="preserve">(19). </w:t>
      </w:r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sym w:font="Symbol" w:char="F02D"/>
      </w:r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 xml:space="preserve"> </w:t>
      </w:r>
      <w:r w:rsidR="002711B5"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val="uk-UA" w:eastAsia="ru-RU"/>
        </w:rPr>
        <w:t>С</w:t>
      </w:r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>. 20</w:t>
      </w:r>
      <w:r w:rsidR="002711B5"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>–</w:t>
      </w:r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>24.</w:t>
      </w:r>
    </w:p>
    <w:p w:rsidR="00461F96" w:rsidRPr="00675164" w:rsidRDefault="00461F96" w:rsidP="00675164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</w:pPr>
      <w:proofErr w:type="spellStart"/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>Няньковський</w:t>
      </w:r>
      <w:proofErr w:type="spellEnd"/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 xml:space="preserve"> С.</w:t>
      </w:r>
      <w:r w:rsidR="002711B5"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val="uk-UA" w:eastAsia="ru-RU"/>
        </w:rPr>
        <w:t xml:space="preserve"> </w:t>
      </w:r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val="uk-UA" w:eastAsia="ru-RU"/>
        </w:rPr>
        <w:t xml:space="preserve">Л. Оцінка якості життя дітей, хворих на хронічний </w:t>
      </w:r>
      <w:proofErr w:type="spellStart"/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val="uk-UA" w:eastAsia="ru-RU"/>
        </w:rPr>
        <w:t>гастродуоденіт</w:t>
      </w:r>
      <w:proofErr w:type="spellEnd"/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val="uk-UA" w:eastAsia="ru-RU"/>
        </w:rPr>
        <w:t xml:space="preserve"> </w:t>
      </w:r>
      <w:r w:rsidR="002711B5"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val="uk-UA" w:eastAsia="ru-RU"/>
        </w:rPr>
        <w:t xml:space="preserve">/ С. Л. </w:t>
      </w:r>
      <w:proofErr w:type="spellStart"/>
      <w:r w:rsidR="002711B5"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val="uk-UA" w:eastAsia="ru-RU"/>
        </w:rPr>
        <w:t>Няньковський</w:t>
      </w:r>
      <w:proofErr w:type="spellEnd"/>
      <w:r w:rsidR="002711B5"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val="uk-UA" w:eastAsia="ru-RU"/>
        </w:rPr>
        <w:t xml:space="preserve">, О. Р. Садова </w:t>
      </w:r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val="uk-UA" w:eastAsia="ru-RU"/>
        </w:rPr>
        <w:t>//</w:t>
      </w:r>
      <w:r w:rsidR="002711B5"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val="uk-UA" w:eastAsia="ru-RU"/>
        </w:rPr>
        <w:t xml:space="preserve"> </w:t>
      </w:r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val="uk-UA" w:eastAsia="ru-RU"/>
        </w:rPr>
        <w:t xml:space="preserve">Проблеми клінічної педіатрії. </w:t>
      </w:r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sym w:font="Symbol" w:char="F02D"/>
      </w:r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val="uk-UA" w:eastAsia="ru-RU"/>
        </w:rPr>
        <w:t xml:space="preserve"> </w:t>
      </w:r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 xml:space="preserve">2013. </w:t>
      </w:r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sym w:font="Symbol" w:char="F02D"/>
      </w:r>
      <w:r w:rsidR="002711B5"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val="uk-UA" w:eastAsia="ru-RU"/>
        </w:rPr>
        <w:t xml:space="preserve"> </w:t>
      </w:r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>№2</w:t>
      </w:r>
      <w:r w:rsidR="00F6659D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val="uk-UA" w:eastAsia="ru-RU"/>
        </w:rPr>
        <w:t xml:space="preserve"> </w:t>
      </w:r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 xml:space="preserve">(20). </w:t>
      </w:r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sym w:font="Symbol" w:char="F02D"/>
      </w:r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 xml:space="preserve"> С.51</w:t>
      </w:r>
      <w:r w:rsidR="002711B5"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>–</w:t>
      </w:r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>55.</w:t>
      </w:r>
    </w:p>
    <w:p w:rsidR="00461F96" w:rsidRPr="00675164" w:rsidRDefault="00461F96" w:rsidP="00675164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outlineLvl w:val="0"/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</w:pPr>
      <w:bookmarkStart w:id="0" w:name="_Ref420337183"/>
      <w:proofErr w:type="spellStart"/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>Марушко</w:t>
      </w:r>
      <w:proofErr w:type="spellEnd"/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 xml:space="preserve"> Ю.</w:t>
      </w:r>
      <w:r w:rsidR="002711B5"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val="uk-UA" w:eastAsia="ru-RU"/>
        </w:rPr>
        <w:t xml:space="preserve"> </w:t>
      </w:r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 xml:space="preserve">В. </w:t>
      </w:r>
      <w:proofErr w:type="spellStart"/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>Сучасні</w:t>
      </w:r>
      <w:proofErr w:type="spellEnd"/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>дан</w:t>
      </w:r>
      <w:proofErr w:type="gramEnd"/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>і</w:t>
      </w:r>
      <w:proofErr w:type="spellEnd"/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>тривалості</w:t>
      </w:r>
      <w:proofErr w:type="spellEnd"/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>терапії</w:t>
      </w:r>
      <w:proofErr w:type="spellEnd"/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>антисекреторними</w:t>
      </w:r>
      <w:proofErr w:type="spellEnd"/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 xml:space="preserve"> препаратами </w:t>
      </w:r>
      <w:proofErr w:type="spellStart"/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>кислотозалежних</w:t>
      </w:r>
      <w:proofErr w:type="spellEnd"/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>захворювання</w:t>
      </w:r>
      <w:proofErr w:type="spellEnd"/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 xml:space="preserve"> у </w:t>
      </w:r>
      <w:proofErr w:type="spellStart"/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>дітей</w:t>
      </w:r>
      <w:proofErr w:type="spellEnd"/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 xml:space="preserve"> </w:t>
      </w:r>
      <w:r w:rsidR="002711B5"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val="uk-UA" w:eastAsia="ru-RU"/>
        </w:rPr>
        <w:t xml:space="preserve">/ </w:t>
      </w:r>
      <w:r w:rsidR="002711B5"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>Ю.</w:t>
      </w:r>
      <w:r w:rsidR="002711B5"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val="uk-UA" w:eastAsia="ru-RU"/>
        </w:rPr>
        <w:t xml:space="preserve"> </w:t>
      </w:r>
      <w:r w:rsidR="002711B5"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 xml:space="preserve">В. </w:t>
      </w:r>
      <w:proofErr w:type="spellStart"/>
      <w:r w:rsidR="002711B5"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>Марушко</w:t>
      </w:r>
      <w:proofErr w:type="spellEnd"/>
      <w:r w:rsidR="002711B5"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 xml:space="preserve"> </w:t>
      </w:r>
      <w:r w:rsidR="002711B5"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val="uk-UA" w:eastAsia="ru-RU"/>
        </w:rPr>
        <w:t xml:space="preserve"> </w:t>
      </w:r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 xml:space="preserve">// Современная педиатрия. – 2013. – </w:t>
      </w:r>
      <w:r w:rsidR="00F6659D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val="uk-UA" w:eastAsia="ru-RU"/>
        </w:rPr>
        <w:t xml:space="preserve">№ </w:t>
      </w:r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>1 (49)</w:t>
      </w:r>
      <w:bookmarkEnd w:id="0"/>
      <w:r w:rsidRPr="00675164">
        <w:rPr>
          <w:rStyle w:val="a8"/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>. – С. 118–122.</w:t>
      </w:r>
    </w:p>
    <w:p w:rsidR="00041E53" w:rsidRPr="00675164" w:rsidRDefault="00C332A6" w:rsidP="00675164">
      <w:pPr>
        <w:numPr>
          <w:ilvl w:val="0"/>
          <w:numId w:val="7"/>
        </w:numPr>
        <w:tabs>
          <w:tab w:val="left" w:pos="1080"/>
        </w:tabs>
        <w:spacing w:line="360" w:lineRule="auto"/>
        <w:ind w:left="567" w:hanging="283"/>
        <w:jc w:val="both"/>
        <w:rPr>
          <w:rStyle w:val="a8"/>
          <w:i w:val="0"/>
          <w:color w:val="000000"/>
          <w:sz w:val="28"/>
          <w:szCs w:val="28"/>
        </w:rPr>
      </w:pPr>
      <w:r w:rsidRPr="00675164">
        <w:rPr>
          <w:rStyle w:val="a8"/>
          <w:i w:val="0"/>
          <w:color w:val="000000"/>
          <w:sz w:val="28"/>
          <w:szCs w:val="28"/>
        </w:rPr>
        <w:t>Шахова А.</w:t>
      </w:r>
      <w:r w:rsidR="002711B5" w:rsidRPr="00675164">
        <w:rPr>
          <w:rStyle w:val="a8"/>
          <w:i w:val="0"/>
          <w:color w:val="000000"/>
          <w:sz w:val="28"/>
          <w:szCs w:val="28"/>
          <w:lang w:val="uk-UA"/>
        </w:rPr>
        <w:t xml:space="preserve"> </w:t>
      </w:r>
      <w:r w:rsidRPr="00675164">
        <w:rPr>
          <w:rStyle w:val="a8"/>
          <w:i w:val="0"/>
          <w:color w:val="000000"/>
          <w:sz w:val="28"/>
          <w:szCs w:val="28"/>
        </w:rPr>
        <w:t>М. Медико-экономическая эффективность различных схем реабилитации детей с хроническим гастродуоденитом</w:t>
      </w:r>
      <w:r w:rsidR="002711B5" w:rsidRPr="00675164">
        <w:rPr>
          <w:rStyle w:val="a8"/>
          <w:i w:val="0"/>
          <w:color w:val="000000"/>
          <w:sz w:val="28"/>
          <w:szCs w:val="28"/>
        </w:rPr>
        <w:t xml:space="preserve"> / А. М. Шахова, Ю. Ф.  Лобанов </w:t>
      </w:r>
      <w:r w:rsidRPr="00675164">
        <w:rPr>
          <w:rStyle w:val="a8"/>
          <w:i w:val="0"/>
          <w:color w:val="000000"/>
          <w:sz w:val="28"/>
          <w:szCs w:val="28"/>
        </w:rPr>
        <w:t>//</w:t>
      </w:r>
      <w:r w:rsidR="002711B5" w:rsidRPr="00675164">
        <w:rPr>
          <w:rStyle w:val="a8"/>
          <w:i w:val="0"/>
          <w:color w:val="000000"/>
          <w:sz w:val="28"/>
          <w:szCs w:val="28"/>
        </w:rPr>
        <w:t xml:space="preserve"> </w:t>
      </w:r>
      <w:r w:rsidRPr="00675164">
        <w:rPr>
          <w:rStyle w:val="a8"/>
          <w:i w:val="0"/>
          <w:color w:val="000000"/>
          <w:sz w:val="28"/>
          <w:szCs w:val="28"/>
        </w:rPr>
        <w:t xml:space="preserve">Бюллетень сибирской медицины. – 2010. </w:t>
      </w:r>
      <w:r w:rsidR="008505E7" w:rsidRPr="00675164">
        <w:rPr>
          <w:rStyle w:val="a8"/>
          <w:i w:val="0"/>
          <w:color w:val="000000"/>
          <w:sz w:val="28"/>
          <w:szCs w:val="28"/>
        </w:rPr>
        <w:t>–</w:t>
      </w:r>
      <w:r w:rsidRPr="00675164">
        <w:rPr>
          <w:rStyle w:val="a8"/>
          <w:i w:val="0"/>
          <w:color w:val="000000"/>
          <w:sz w:val="28"/>
          <w:szCs w:val="28"/>
        </w:rPr>
        <w:t xml:space="preserve"> № 1. – С.139</w:t>
      </w:r>
      <w:r w:rsidR="002711B5" w:rsidRPr="00675164">
        <w:rPr>
          <w:rStyle w:val="a8"/>
          <w:i w:val="0"/>
          <w:color w:val="000000"/>
          <w:sz w:val="28"/>
          <w:szCs w:val="28"/>
        </w:rPr>
        <w:t>–</w:t>
      </w:r>
      <w:r w:rsidRPr="00675164">
        <w:rPr>
          <w:rStyle w:val="a8"/>
          <w:i w:val="0"/>
          <w:color w:val="000000"/>
          <w:sz w:val="28"/>
          <w:szCs w:val="28"/>
        </w:rPr>
        <w:t>143.</w:t>
      </w:r>
    </w:p>
    <w:p w:rsidR="00D35BF0" w:rsidRPr="00675164" w:rsidRDefault="00041E53" w:rsidP="00675164">
      <w:pPr>
        <w:numPr>
          <w:ilvl w:val="0"/>
          <w:numId w:val="7"/>
        </w:numPr>
        <w:tabs>
          <w:tab w:val="left" w:pos="1080"/>
        </w:tabs>
        <w:spacing w:line="360" w:lineRule="auto"/>
        <w:ind w:left="567" w:hanging="283"/>
        <w:jc w:val="both"/>
        <w:rPr>
          <w:rStyle w:val="a8"/>
          <w:i w:val="0"/>
          <w:iCs w:val="0"/>
          <w:sz w:val="28"/>
          <w:szCs w:val="28"/>
        </w:rPr>
      </w:pPr>
      <w:r w:rsidRPr="00675164">
        <w:rPr>
          <w:rStyle w:val="a8"/>
          <w:i w:val="0"/>
          <w:color w:val="000000"/>
          <w:sz w:val="28"/>
          <w:szCs w:val="28"/>
        </w:rPr>
        <w:t>Лазебник Л.</w:t>
      </w:r>
      <w:r w:rsidRPr="00675164">
        <w:rPr>
          <w:rStyle w:val="a8"/>
          <w:i w:val="0"/>
          <w:color w:val="000000"/>
          <w:sz w:val="28"/>
          <w:szCs w:val="28"/>
          <w:lang w:val="uk-UA"/>
        </w:rPr>
        <w:t xml:space="preserve"> </w:t>
      </w:r>
      <w:r w:rsidRPr="00675164">
        <w:rPr>
          <w:rStyle w:val="a8"/>
          <w:i w:val="0"/>
          <w:color w:val="000000"/>
          <w:sz w:val="28"/>
          <w:szCs w:val="28"/>
        </w:rPr>
        <w:t xml:space="preserve">Б. </w:t>
      </w:r>
      <w:proofErr w:type="spellStart"/>
      <w:r w:rsidRPr="00675164">
        <w:rPr>
          <w:rStyle w:val="a8"/>
          <w:i w:val="0"/>
          <w:color w:val="000000"/>
          <w:sz w:val="28"/>
          <w:szCs w:val="28"/>
        </w:rPr>
        <w:t>Фармакоэкономические</w:t>
      </w:r>
      <w:proofErr w:type="spellEnd"/>
      <w:r w:rsidRPr="00675164">
        <w:rPr>
          <w:rStyle w:val="a8"/>
          <w:i w:val="0"/>
          <w:color w:val="000000"/>
          <w:sz w:val="28"/>
          <w:szCs w:val="28"/>
        </w:rPr>
        <w:t xml:space="preserve"> аспекты применения ингибиторов протонной помпы </w:t>
      </w:r>
      <w:r w:rsidRPr="00675164">
        <w:rPr>
          <w:rStyle w:val="a8"/>
          <w:i w:val="0"/>
          <w:color w:val="000000"/>
          <w:sz w:val="28"/>
          <w:szCs w:val="28"/>
          <w:lang w:val="uk-UA"/>
        </w:rPr>
        <w:t xml:space="preserve">// </w:t>
      </w:r>
      <w:r w:rsidRPr="00675164">
        <w:rPr>
          <w:rStyle w:val="a8"/>
          <w:i w:val="0"/>
          <w:color w:val="000000"/>
          <w:sz w:val="28"/>
          <w:szCs w:val="28"/>
        </w:rPr>
        <w:t>Л.</w:t>
      </w:r>
      <w:r w:rsidRPr="00675164">
        <w:rPr>
          <w:rStyle w:val="a8"/>
          <w:i w:val="0"/>
          <w:color w:val="000000"/>
          <w:sz w:val="28"/>
          <w:szCs w:val="28"/>
          <w:lang w:val="uk-UA"/>
        </w:rPr>
        <w:t xml:space="preserve"> </w:t>
      </w:r>
      <w:r w:rsidRPr="00675164">
        <w:rPr>
          <w:rStyle w:val="a8"/>
          <w:i w:val="0"/>
          <w:color w:val="000000"/>
          <w:sz w:val="28"/>
          <w:szCs w:val="28"/>
        </w:rPr>
        <w:t>Б.</w:t>
      </w:r>
      <w:r w:rsidRPr="00675164">
        <w:rPr>
          <w:rStyle w:val="a8"/>
          <w:i w:val="0"/>
          <w:color w:val="000000"/>
          <w:sz w:val="28"/>
          <w:szCs w:val="28"/>
          <w:lang w:val="uk-UA"/>
        </w:rPr>
        <w:t xml:space="preserve"> </w:t>
      </w:r>
      <w:r w:rsidRPr="00675164">
        <w:rPr>
          <w:rStyle w:val="a8"/>
          <w:i w:val="0"/>
          <w:color w:val="000000"/>
          <w:sz w:val="28"/>
          <w:szCs w:val="28"/>
        </w:rPr>
        <w:t>Лазебник, А.</w:t>
      </w:r>
      <w:r w:rsidRPr="00675164">
        <w:rPr>
          <w:rStyle w:val="a8"/>
          <w:i w:val="0"/>
          <w:color w:val="000000"/>
          <w:sz w:val="28"/>
          <w:szCs w:val="28"/>
          <w:lang w:val="uk-UA"/>
        </w:rPr>
        <w:t xml:space="preserve"> </w:t>
      </w:r>
      <w:r w:rsidRPr="00675164">
        <w:rPr>
          <w:rStyle w:val="a8"/>
          <w:i w:val="0"/>
          <w:color w:val="000000"/>
          <w:sz w:val="28"/>
          <w:szCs w:val="28"/>
        </w:rPr>
        <w:t>А.</w:t>
      </w:r>
      <w:r w:rsidRPr="00675164">
        <w:rPr>
          <w:rStyle w:val="a8"/>
          <w:i w:val="0"/>
          <w:color w:val="000000"/>
          <w:sz w:val="28"/>
          <w:szCs w:val="28"/>
          <w:lang w:val="uk-UA"/>
        </w:rPr>
        <w:t xml:space="preserve"> </w:t>
      </w:r>
      <w:proofErr w:type="spellStart"/>
      <w:r w:rsidRPr="00675164">
        <w:rPr>
          <w:rStyle w:val="a8"/>
          <w:i w:val="0"/>
          <w:color w:val="000000"/>
          <w:sz w:val="28"/>
          <w:szCs w:val="28"/>
        </w:rPr>
        <w:t>Машарова</w:t>
      </w:r>
      <w:proofErr w:type="spellEnd"/>
      <w:r w:rsidRPr="00675164">
        <w:rPr>
          <w:rStyle w:val="a8"/>
          <w:i w:val="0"/>
          <w:color w:val="000000"/>
          <w:sz w:val="28"/>
          <w:szCs w:val="28"/>
        </w:rPr>
        <w:t>, М.</w:t>
      </w:r>
      <w:r w:rsidRPr="00675164">
        <w:rPr>
          <w:rStyle w:val="a8"/>
          <w:i w:val="0"/>
          <w:color w:val="000000"/>
          <w:sz w:val="28"/>
          <w:szCs w:val="28"/>
          <w:lang w:val="uk-UA"/>
        </w:rPr>
        <w:t xml:space="preserve"> </w:t>
      </w:r>
      <w:r w:rsidRPr="00675164">
        <w:rPr>
          <w:rStyle w:val="a8"/>
          <w:i w:val="0"/>
          <w:color w:val="000000"/>
          <w:sz w:val="28"/>
          <w:szCs w:val="28"/>
        </w:rPr>
        <w:t xml:space="preserve">Г. </w:t>
      </w:r>
      <w:proofErr w:type="spellStart"/>
      <w:r w:rsidRPr="00675164">
        <w:rPr>
          <w:rStyle w:val="a8"/>
          <w:i w:val="0"/>
          <w:color w:val="000000"/>
          <w:sz w:val="28"/>
          <w:szCs w:val="28"/>
        </w:rPr>
        <w:t>Гусейнзаде</w:t>
      </w:r>
      <w:proofErr w:type="spellEnd"/>
      <w:r w:rsidRPr="00675164">
        <w:rPr>
          <w:rStyle w:val="a8"/>
          <w:i w:val="0"/>
          <w:color w:val="000000"/>
          <w:sz w:val="28"/>
          <w:szCs w:val="28"/>
        </w:rPr>
        <w:t xml:space="preserve"> // Экспериментальная и клиническая </w:t>
      </w:r>
      <w:r w:rsidRPr="00675164">
        <w:rPr>
          <w:rStyle w:val="a8"/>
          <w:i w:val="0"/>
          <w:color w:val="000000"/>
          <w:sz w:val="28"/>
          <w:szCs w:val="28"/>
          <w:lang w:val="uk-UA"/>
        </w:rPr>
        <w:t>г</w:t>
      </w:r>
      <w:proofErr w:type="spellStart"/>
      <w:r w:rsidRPr="00675164">
        <w:rPr>
          <w:rStyle w:val="a8"/>
          <w:i w:val="0"/>
          <w:color w:val="000000"/>
          <w:sz w:val="28"/>
          <w:szCs w:val="28"/>
        </w:rPr>
        <w:t>астроэнтерология</w:t>
      </w:r>
      <w:proofErr w:type="spellEnd"/>
      <w:r w:rsidR="00EA4551" w:rsidRPr="00675164">
        <w:rPr>
          <w:rStyle w:val="a8"/>
          <w:i w:val="0"/>
          <w:color w:val="000000"/>
          <w:sz w:val="28"/>
          <w:szCs w:val="28"/>
          <w:lang w:val="uk-UA"/>
        </w:rPr>
        <w:t>.</w:t>
      </w:r>
      <w:r w:rsidRPr="00675164">
        <w:rPr>
          <w:rStyle w:val="a8"/>
          <w:i w:val="0"/>
          <w:color w:val="000000"/>
          <w:sz w:val="28"/>
          <w:szCs w:val="28"/>
        </w:rPr>
        <w:t xml:space="preserve"> – 2006. – № 4. – С. 1–6.</w:t>
      </w:r>
    </w:p>
    <w:p w:rsidR="00D35BF0" w:rsidRPr="00675164" w:rsidRDefault="00D35BF0" w:rsidP="00675164">
      <w:pPr>
        <w:numPr>
          <w:ilvl w:val="0"/>
          <w:numId w:val="7"/>
        </w:numPr>
        <w:tabs>
          <w:tab w:val="left" w:pos="1080"/>
        </w:tabs>
        <w:spacing w:line="360" w:lineRule="auto"/>
        <w:ind w:left="567" w:hanging="283"/>
        <w:jc w:val="both"/>
        <w:rPr>
          <w:sz w:val="28"/>
          <w:szCs w:val="28"/>
        </w:rPr>
      </w:pPr>
      <w:proofErr w:type="spellStart"/>
      <w:r w:rsidRPr="00675164">
        <w:rPr>
          <w:sz w:val="28"/>
          <w:szCs w:val="28"/>
          <w:lang w:val="uk-UA"/>
        </w:rPr>
        <w:t>Клинико-экономический</w:t>
      </w:r>
      <w:proofErr w:type="spellEnd"/>
      <w:r w:rsidRPr="00675164">
        <w:rPr>
          <w:sz w:val="28"/>
          <w:szCs w:val="28"/>
          <w:lang w:val="uk-UA"/>
        </w:rPr>
        <w:t xml:space="preserve"> </w:t>
      </w:r>
      <w:proofErr w:type="spellStart"/>
      <w:r w:rsidRPr="00675164">
        <w:rPr>
          <w:sz w:val="28"/>
          <w:szCs w:val="28"/>
          <w:lang w:val="uk-UA"/>
        </w:rPr>
        <w:t>анализ</w:t>
      </w:r>
      <w:proofErr w:type="spellEnd"/>
      <w:r w:rsidRPr="00675164">
        <w:rPr>
          <w:sz w:val="28"/>
          <w:szCs w:val="28"/>
          <w:lang w:val="uk-UA"/>
        </w:rPr>
        <w:t xml:space="preserve"> / П. А. </w:t>
      </w:r>
      <w:proofErr w:type="spellStart"/>
      <w:r w:rsidRPr="00675164">
        <w:rPr>
          <w:sz w:val="28"/>
          <w:szCs w:val="28"/>
          <w:lang w:val="uk-UA"/>
        </w:rPr>
        <w:t>Воробьев</w:t>
      </w:r>
      <w:proofErr w:type="spellEnd"/>
      <w:r w:rsidRPr="00675164">
        <w:rPr>
          <w:sz w:val="28"/>
          <w:szCs w:val="28"/>
          <w:lang w:val="uk-UA"/>
        </w:rPr>
        <w:t xml:space="preserve">, М. В. </w:t>
      </w:r>
      <w:proofErr w:type="spellStart"/>
      <w:r w:rsidRPr="00675164">
        <w:rPr>
          <w:sz w:val="28"/>
          <w:szCs w:val="28"/>
          <w:lang w:val="uk-UA"/>
        </w:rPr>
        <w:t>Авксентьева</w:t>
      </w:r>
      <w:proofErr w:type="spellEnd"/>
      <w:r w:rsidRPr="00675164">
        <w:rPr>
          <w:sz w:val="28"/>
          <w:szCs w:val="28"/>
          <w:lang w:val="uk-UA"/>
        </w:rPr>
        <w:t xml:space="preserve">, О. В. Борисенко и др.; </w:t>
      </w:r>
      <w:proofErr w:type="spellStart"/>
      <w:r w:rsidRPr="00675164">
        <w:rPr>
          <w:sz w:val="28"/>
          <w:szCs w:val="28"/>
          <w:lang w:val="uk-UA"/>
        </w:rPr>
        <w:t>под</w:t>
      </w:r>
      <w:proofErr w:type="spellEnd"/>
      <w:r w:rsidRPr="00675164">
        <w:rPr>
          <w:sz w:val="28"/>
          <w:szCs w:val="28"/>
          <w:lang w:val="uk-UA"/>
        </w:rPr>
        <w:t xml:space="preserve"> ред. П. А. </w:t>
      </w:r>
      <w:proofErr w:type="spellStart"/>
      <w:r w:rsidRPr="00675164">
        <w:rPr>
          <w:sz w:val="28"/>
          <w:szCs w:val="28"/>
          <w:lang w:val="uk-UA"/>
        </w:rPr>
        <w:t>Воробьева</w:t>
      </w:r>
      <w:proofErr w:type="spellEnd"/>
      <w:r w:rsidRPr="00675164">
        <w:rPr>
          <w:sz w:val="28"/>
          <w:szCs w:val="28"/>
          <w:lang w:val="uk-UA"/>
        </w:rPr>
        <w:t xml:space="preserve">. – 3-е </w:t>
      </w:r>
      <w:proofErr w:type="spellStart"/>
      <w:r w:rsidRPr="00675164">
        <w:rPr>
          <w:sz w:val="28"/>
          <w:szCs w:val="28"/>
          <w:lang w:val="uk-UA"/>
        </w:rPr>
        <w:t>изд</w:t>
      </w:r>
      <w:proofErr w:type="spellEnd"/>
      <w:r w:rsidRPr="00675164">
        <w:rPr>
          <w:sz w:val="28"/>
          <w:szCs w:val="28"/>
          <w:lang w:val="uk-UA"/>
        </w:rPr>
        <w:t xml:space="preserve">. – М.: </w:t>
      </w:r>
      <w:proofErr w:type="spellStart"/>
      <w:r w:rsidRPr="00675164">
        <w:rPr>
          <w:sz w:val="28"/>
          <w:szCs w:val="28"/>
          <w:lang w:val="uk-UA"/>
        </w:rPr>
        <w:t>Ньюдиамед</w:t>
      </w:r>
      <w:proofErr w:type="spellEnd"/>
      <w:r w:rsidRPr="00675164">
        <w:rPr>
          <w:sz w:val="28"/>
          <w:szCs w:val="28"/>
          <w:lang w:val="uk-UA"/>
        </w:rPr>
        <w:t>, 2008. – 778 с.</w:t>
      </w:r>
    </w:p>
    <w:p w:rsidR="00B72382" w:rsidRPr="00675164" w:rsidRDefault="00EA4551" w:rsidP="00675164">
      <w:pPr>
        <w:numPr>
          <w:ilvl w:val="0"/>
          <w:numId w:val="7"/>
        </w:numPr>
        <w:tabs>
          <w:tab w:val="left" w:pos="1080"/>
        </w:tabs>
        <w:spacing w:line="360" w:lineRule="auto"/>
        <w:ind w:left="567" w:hanging="283"/>
        <w:jc w:val="both"/>
        <w:rPr>
          <w:iCs/>
          <w:color w:val="000000"/>
          <w:sz w:val="28"/>
          <w:szCs w:val="28"/>
        </w:rPr>
      </w:pPr>
      <w:r w:rsidRPr="00675164">
        <w:rPr>
          <w:sz w:val="28"/>
          <w:szCs w:val="28"/>
          <w:lang w:val="uk-UA"/>
        </w:rPr>
        <w:t xml:space="preserve">Оцінка клінічної та економічної доцільності використання лікарських засобів у лікувально-профілактичному закладі (супровід формулярної системи): метод. </w:t>
      </w:r>
      <w:proofErr w:type="spellStart"/>
      <w:r w:rsidRPr="00675164">
        <w:rPr>
          <w:sz w:val="28"/>
          <w:szCs w:val="28"/>
          <w:lang w:val="uk-UA"/>
        </w:rPr>
        <w:t>рек</w:t>
      </w:r>
      <w:proofErr w:type="spellEnd"/>
      <w:r w:rsidRPr="00675164">
        <w:rPr>
          <w:sz w:val="28"/>
          <w:szCs w:val="28"/>
          <w:lang w:val="uk-UA"/>
        </w:rPr>
        <w:t xml:space="preserve">.  / А. М. Морозов, Л. В. Яковлєва, Н. В. </w:t>
      </w:r>
      <w:proofErr w:type="spellStart"/>
      <w:r w:rsidRPr="00675164">
        <w:rPr>
          <w:sz w:val="28"/>
          <w:szCs w:val="28"/>
          <w:lang w:val="uk-UA"/>
        </w:rPr>
        <w:t>Бездітко</w:t>
      </w:r>
      <w:proofErr w:type="spellEnd"/>
      <w:r w:rsidRPr="00675164">
        <w:rPr>
          <w:sz w:val="28"/>
          <w:szCs w:val="28"/>
          <w:lang w:val="uk-UA"/>
        </w:rPr>
        <w:t xml:space="preserve"> та ін. – Х.: </w:t>
      </w:r>
      <w:proofErr w:type="spellStart"/>
      <w:r w:rsidRPr="00675164">
        <w:rPr>
          <w:sz w:val="28"/>
          <w:szCs w:val="28"/>
          <w:lang w:val="uk-UA"/>
        </w:rPr>
        <w:t>Стиль-Издат</w:t>
      </w:r>
      <w:proofErr w:type="spellEnd"/>
      <w:r w:rsidRPr="00675164">
        <w:rPr>
          <w:sz w:val="28"/>
          <w:szCs w:val="28"/>
          <w:lang w:val="uk-UA"/>
        </w:rPr>
        <w:t>, 2013. – 36 с.</w:t>
      </w:r>
    </w:p>
    <w:p w:rsidR="0078502D" w:rsidRPr="00675164" w:rsidRDefault="004C6E2B" w:rsidP="00675164">
      <w:pPr>
        <w:numPr>
          <w:ilvl w:val="0"/>
          <w:numId w:val="7"/>
        </w:numPr>
        <w:tabs>
          <w:tab w:val="left" w:pos="1080"/>
        </w:tabs>
        <w:spacing w:line="360" w:lineRule="auto"/>
        <w:ind w:left="567" w:hanging="283"/>
        <w:jc w:val="both"/>
        <w:rPr>
          <w:iCs/>
          <w:sz w:val="28"/>
          <w:szCs w:val="28"/>
        </w:rPr>
      </w:pPr>
      <w:hyperlink r:id="rId10" w:history="1">
        <w:r w:rsidR="00B72382" w:rsidRPr="00675164">
          <w:rPr>
            <w:sz w:val="28"/>
            <w:szCs w:val="28"/>
            <w:lang w:val="uk-UA"/>
          </w:rPr>
          <w:t>Компендиум OnLine</w:t>
        </w:r>
      </w:hyperlink>
      <w:r w:rsidR="00B72382" w:rsidRPr="00675164">
        <w:rPr>
          <w:sz w:val="28"/>
          <w:szCs w:val="28"/>
          <w:lang w:val="uk-UA"/>
        </w:rPr>
        <w:t xml:space="preserve"> </w:t>
      </w:r>
      <w:r w:rsidR="00655557" w:rsidRPr="00675164">
        <w:rPr>
          <w:sz w:val="28"/>
          <w:szCs w:val="28"/>
        </w:rPr>
        <w:t>[</w:t>
      </w:r>
      <w:proofErr w:type="spellStart"/>
      <w:r w:rsidR="00655557" w:rsidRPr="00675164">
        <w:rPr>
          <w:sz w:val="28"/>
          <w:szCs w:val="28"/>
        </w:rPr>
        <w:t>Електронний</w:t>
      </w:r>
      <w:proofErr w:type="spellEnd"/>
      <w:r w:rsidR="00655557" w:rsidRPr="00675164">
        <w:rPr>
          <w:sz w:val="28"/>
          <w:szCs w:val="28"/>
        </w:rPr>
        <w:t xml:space="preserve"> ресурс]. – Режим доступу </w:t>
      </w:r>
      <w:proofErr w:type="gramStart"/>
      <w:r w:rsidR="00655557" w:rsidRPr="00675164">
        <w:rPr>
          <w:sz w:val="28"/>
          <w:szCs w:val="28"/>
        </w:rPr>
        <w:t>до</w:t>
      </w:r>
      <w:proofErr w:type="gramEnd"/>
      <w:r w:rsidR="00655557" w:rsidRPr="00675164">
        <w:rPr>
          <w:sz w:val="28"/>
          <w:szCs w:val="28"/>
        </w:rPr>
        <w:t xml:space="preserve"> сайту: </w:t>
      </w:r>
      <w:hyperlink r:id="rId11" w:history="1">
        <w:r w:rsidR="00B72382" w:rsidRPr="00675164">
          <w:rPr>
            <w:sz w:val="28"/>
            <w:szCs w:val="28"/>
          </w:rPr>
          <w:t>http://compendium.com.ua/prices</w:t>
        </w:r>
      </w:hyperlink>
      <w:r w:rsidR="00B72382" w:rsidRPr="00675164">
        <w:rPr>
          <w:iCs/>
          <w:sz w:val="28"/>
          <w:szCs w:val="28"/>
        </w:rPr>
        <w:t>.</w:t>
      </w:r>
    </w:p>
    <w:p w:rsidR="000A1C82" w:rsidRDefault="0035047E" w:rsidP="00675164">
      <w:pPr>
        <w:numPr>
          <w:ilvl w:val="0"/>
          <w:numId w:val="7"/>
        </w:numPr>
        <w:tabs>
          <w:tab w:val="left" w:pos="1080"/>
        </w:tabs>
        <w:spacing w:line="360" w:lineRule="auto"/>
        <w:ind w:left="567" w:hanging="283"/>
        <w:jc w:val="both"/>
        <w:rPr>
          <w:rStyle w:val="a8"/>
          <w:i w:val="0"/>
          <w:iCs w:val="0"/>
          <w:color w:val="000000"/>
          <w:sz w:val="28"/>
          <w:szCs w:val="28"/>
        </w:rPr>
      </w:pPr>
      <w:r w:rsidRPr="00675164">
        <w:rPr>
          <w:rStyle w:val="a8"/>
          <w:i w:val="0"/>
          <w:color w:val="000000"/>
          <w:sz w:val="28"/>
          <w:szCs w:val="28"/>
        </w:rPr>
        <w:t>Гурова М.</w:t>
      </w:r>
      <w:r w:rsidR="00041E53" w:rsidRPr="00675164">
        <w:rPr>
          <w:rStyle w:val="a8"/>
          <w:i w:val="0"/>
          <w:color w:val="000000"/>
          <w:sz w:val="28"/>
          <w:szCs w:val="28"/>
          <w:lang w:val="uk-UA"/>
        </w:rPr>
        <w:t xml:space="preserve"> </w:t>
      </w:r>
      <w:r w:rsidRPr="00675164">
        <w:rPr>
          <w:rStyle w:val="a8"/>
          <w:i w:val="0"/>
          <w:color w:val="000000"/>
          <w:sz w:val="28"/>
          <w:szCs w:val="28"/>
        </w:rPr>
        <w:t xml:space="preserve">М. Сопутствующие заболевания органов пищеварения у детей подросткового возраста с хроническим гастродуоденитом </w:t>
      </w:r>
      <w:r w:rsidR="00041E53" w:rsidRPr="00675164">
        <w:rPr>
          <w:rStyle w:val="a8"/>
          <w:i w:val="0"/>
          <w:color w:val="000000"/>
          <w:sz w:val="28"/>
          <w:szCs w:val="28"/>
          <w:lang w:val="uk-UA"/>
        </w:rPr>
        <w:t xml:space="preserve"> /</w:t>
      </w:r>
      <w:r w:rsidR="00041E53" w:rsidRPr="00675164">
        <w:rPr>
          <w:rStyle w:val="a8"/>
          <w:i w:val="0"/>
          <w:color w:val="000000"/>
          <w:sz w:val="28"/>
          <w:szCs w:val="28"/>
        </w:rPr>
        <w:t xml:space="preserve"> М.</w:t>
      </w:r>
      <w:r w:rsidR="00041E53" w:rsidRPr="00675164">
        <w:rPr>
          <w:rStyle w:val="a8"/>
          <w:i w:val="0"/>
          <w:color w:val="000000"/>
          <w:sz w:val="28"/>
          <w:szCs w:val="28"/>
          <w:lang w:val="uk-UA"/>
        </w:rPr>
        <w:t xml:space="preserve"> </w:t>
      </w:r>
      <w:r w:rsidR="00041E53" w:rsidRPr="00675164">
        <w:rPr>
          <w:rStyle w:val="a8"/>
          <w:i w:val="0"/>
          <w:color w:val="000000"/>
          <w:sz w:val="28"/>
          <w:szCs w:val="28"/>
        </w:rPr>
        <w:t>М.</w:t>
      </w:r>
      <w:r w:rsidR="00041E53" w:rsidRPr="00675164">
        <w:rPr>
          <w:rStyle w:val="a8"/>
          <w:i w:val="0"/>
          <w:color w:val="000000"/>
          <w:sz w:val="28"/>
          <w:szCs w:val="28"/>
          <w:lang w:val="uk-UA"/>
        </w:rPr>
        <w:t xml:space="preserve"> </w:t>
      </w:r>
      <w:r w:rsidR="00041E53" w:rsidRPr="00675164">
        <w:rPr>
          <w:rStyle w:val="a8"/>
          <w:i w:val="0"/>
          <w:color w:val="000000"/>
          <w:sz w:val="28"/>
          <w:szCs w:val="28"/>
        </w:rPr>
        <w:t>Гурова, В.</w:t>
      </w:r>
      <w:r w:rsidR="00041E53" w:rsidRPr="00675164">
        <w:rPr>
          <w:rStyle w:val="a8"/>
          <w:i w:val="0"/>
          <w:color w:val="000000"/>
          <w:sz w:val="28"/>
          <w:szCs w:val="28"/>
          <w:lang w:val="uk-UA"/>
        </w:rPr>
        <w:t xml:space="preserve"> </w:t>
      </w:r>
      <w:r w:rsidR="00041E53" w:rsidRPr="00675164">
        <w:rPr>
          <w:rStyle w:val="a8"/>
          <w:i w:val="0"/>
          <w:color w:val="000000"/>
          <w:sz w:val="28"/>
          <w:szCs w:val="28"/>
        </w:rPr>
        <w:t>В.</w:t>
      </w:r>
      <w:r w:rsidR="00041E53" w:rsidRPr="00675164">
        <w:rPr>
          <w:rStyle w:val="a8"/>
          <w:i w:val="0"/>
          <w:color w:val="000000"/>
          <w:sz w:val="28"/>
          <w:szCs w:val="28"/>
          <w:lang w:val="uk-UA"/>
        </w:rPr>
        <w:t xml:space="preserve"> </w:t>
      </w:r>
      <w:proofErr w:type="spellStart"/>
      <w:r w:rsidR="00041E53" w:rsidRPr="00675164">
        <w:rPr>
          <w:rStyle w:val="a8"/>
          <w:i w:val="0"/>
          <w:color w:val="000000"/>
          <w:sz w:val="28"/>
          <w:szCs w:val="28"/>
        </w:rPr>
        <w:t>Циркунова</w:t>
      </w:r>
      <w:proofErr w:type="spellEnd"/>
      <w:r w:rsidR="00041E53" w:rsidRPr="00675164">
        <w:rPr>
          <w:rStyle w:val="a8"/>
          <w:i w:val="0"/>
          <w:color w:val="000000"/>
          <w:sz w:val="28"/>
          <w:szCs w:val="28"/>
        </w:rPr>
        <w:t xml:space="preserve"> </w:t>
      </w:r>
      <w:r w:rsidRPr="00675164">
        <w:rPr>
          <w:rStyle w:val="a8"/>
          <w:i w:val="0"/>
          <w:color w:val="000000"/>
          <w:sz w:val="28"/>
          <w:szCs w:val="28"/>
        </w:rPr>
        <w:t>//</w:t>
      </w:r>
      <w:r w:rsidR="00676972" w:rsidRPr="00675164">
        <w:rPr>
          <w:rStyle w:val="a8"/>
          <w:i w:val="0"/>
          <w:color w:val="000000"/>
          <w:sz w:val="28"/>
          <w:szCs w:val="28"/>
          <w:lang w:val="uk-UA"/>
        </w:rPr>
        <w:t xml:space="preserve"> </w:t>
      </w:r>
      <w:r w:rsidRPr="00675164">
        <w:rPr>
          <w:rStyle w:val="a8"/>
          <w:i w:val="0"/>
          <w:color w:val="000000"/>
          <w:sz w:val="28"/>
          <w:szCs w:val="28"/>
        </w:rPr>
        <w:t>В</w:t>
      </w:r>
      <w:r w:rsidRPr="00675164">
        <w:rPr>
          <w:rStyle w:val="a8"/>
          <w:i w:val="0"/>
          <w:iCs w:val="0"/>
          <w:color w:val="000000"/>
          <w:sz w:val="28"/>
          <w:szCs w:val="28"/>
        </w:rPr>
        <w:t>естник Новгородского государственного университета. – 2014. – № 78. – С. 37</w:t>
      </w:r>
      <w:r w:rsidR="00041E53" w:rsidRPr="00675164">
        <w:rPr>
          <w:rStyle w:val="a8"/>
          <w:i w:val="0"/>
          <w:iCs w:val="0"/>
          <w:color w:val="000000"/>
          <w:sz w:val="28"/>
          <w:szCs w:val="28"/>
        </w:rPr>
        <w:t>–</w:t>
      </w:r>
      <w:r w:rsidRPr="00675164">
        <w:rPr>
          <w:rStyle w:val="a8"/>
          <w:i w:val="0"/>
          <w:iCs w:val="0"/>
          <w:color w:val="000000"/>
          <w:sz w:val="28"/>
          <w:szCs w:val="28"/>
        </w:rPr>
        <w:t>43.</w:t>
      </w:r>
    </w:p>
    <w:p w:rsidR="000A1C82" w:rsidRDefault="000A1C82" w:rsidP="000A1C82">
      <w:pPr>
        <w:spacing w:after="200" w:line="276" w:lineRule="auto"/>
        <w:jc w:val="center"/>
        <w:rPr>
          <w:b/>
          <w:spacing w:val="20"/>
          <w:sz w:val="28"/>
        </w:rPr>
      </w:pPr>
      <w:r>
        <w:rPr>
          <w:rStyle w:val="a8"/>
          <w:i w:val="0"/>
          <w:iCs w:val="0"/>
          <w:color w:val="000000"/>
          <w:sz w:val="28"/>
          <w:szCs w:val="28"/>
        </w:rPr>
        <w:br w:type="page"/>
      </w:r>
      <w:r>
        <w:rPr>
          <w:rStyle w:val="a8"/>
          <w:i w:val="0"/>
          <w:iCs w:val="0"/>
          <w:color w:val="000000"/>
          <w:sz w:val="28"/>
          <w:szCs w:val="28"/>
          <w:lang w:val="uk-UA"/>
        </w:rPr>
        <w:lastRenderedPageBreak/>
        <w:t>В</w:t>
      </w:r>
      <w:r>
        <w:rPr>
          <w:b/>
          <w:spacing w:val="20"/>
          <w:sz w:val="28"/>
        </w:rPr>
        <w:t>ІДОМОСТІ ПРО АВТОР</w:t>
      </w:r>
      <w:r>
        <w:rPr>
          <w:b/>
          <w:spacing w:val="20"/>
          <w:sz w:val="28"/>
          <w:lang w:val="uk-UA"/>
        </w:rPr>
        <w:t>ІВ</w:t>
      </w:r>
      <w:r>
        <w:rPr>
          <w:b/>
          <w:spacing w:val="20"/>
          <w:sz w:val="28"/>
        </w:rPr>
        <w:t>:</w:t>
      </w:r>
    </w:p>
    <w:p w:rsidR="000A1C82" w:rsidRDefault="000A1C82" w:rsidP="000A1C82">
      <w:pPr>
        <w:spacing w:line="360" w:lineRule="auto"/>
        <w:ind w:firstLine="720"/>
        <w:jc w:val="both"/>
        <w:rPr>
          <w:spacing w:val="20"/>
          <w:sz w:val="28"/>
        </w:rPr>
      </w:pPr>
      <w:bookmarkStart w:id="1" w:name="_GoBack"/>
      <w:bookmarkEnd w:id="1"/>
    </w:p>
    <w:p w:rsidR="000A1C82" w:rsidRDefault="000A1C82" w:rsidP="000A1C82">
      <w:pPr>
        <w:spacing w:line="360" w:lineRule="auto"/>
        <w:ind w:left="720" w:hanging="294"/>
        <w:jc w:val="both"/>
        <w:rPr>
          <w:b/>
          <w:spacing w:val="20"/>
          <w:sz w:val="28"/>
          <w:lang w:val="uk-UA"/>
        </w:rPr>
      </w:pPr>
      <w:r>
        <w:rPr>
          <w:b/>
          <w:spacing w:val="20"/>
          <w:sz w:val="28"/>
          <w:lang w:val="uk-UA"/>
        </w:rPr>
        <w:t xml:space="preserve">1. </w:t>
      </w:r>
      <w:r>
        <w:rPr>
          <w:b/>
          <w:spacing w:val="20"/>
          <w:sz w:val="28"/>
        </w:rPr>
        <w:t xml:space="preserve">Герасимова Ольга </w:t>
      </w:r>
      <w:proofErr w:type="spellStart"/>
      <w:r>
        <w:rPr>
          <w:b/>
          <w:spacing w:val="20"/>
          <w:sz w:val="28"/>
        </w:rPr>
        <w:t>Олександрівна</w:t>
      </w:r>
      <w:proofErr w:type="spellEnd"/>
    </w:p>
    <w:p w:rsidR="000A1C82" w:rsidRPr="00F02199" w:rsidRDefault="000A1C82" w:rsidP="000A1C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15514">
        <w:rPr>
          <w:spacing w:val="20"/>
          <w:sz w:val="28"/>
        </w:rPr>
        <w:t xml:space="preserve"> </w:t>
      </w:r>
      <w:r>
        <w:rPr>
          <w:sz w:val="28"/>
          <w:szCs w:val="28"/>
          <w:lang w:val="uk-UA"/>
        </w:rPr>
        <w:t>Д</w:t>
      </w:r>
      <w:proofErr w:type="spellStart"/>
      <w:r w:rsidRPr="00F02199">
        <w:rPr>
          <w:sz w:val="28"/>
          <w:szCs w:val="28"/>
        </w:rPr>
        <w:t>оцент</w:t>
      </w:r>
      <w:proofErr w:type="spellEnd"/>
      <w:r>
        <w:rPr>
          <w:sz w:val="28"/>
          <w:szCs w:val="28"/>
          <w:lang w:val="uk-UA"/>
        </w:rPr>
        <w:t>, к</w:t>
      </w:r>
      <w:proofErr w:type="spellStart"/>
      <w:r w:rsidRPr="00F02199">
        <w:rPr>
          <w:sz w:val="28"/>
          <w:szCs w:val="28"/>
        </w:rPr>
        <w:t>андидат</w:t>
      </w:r>
      <w:proofErr w:type="spellEnd"/>
      <w:r w:rsidRPr="00F02199">
        <w:rPr>
          <w:sz w:val="28"/>
          <w:szCs w:val="28"/>
        </w:rPr>
        <w:t xml:space="preserve"> </w:t>
      </w:r>
      <w:proofErr w:type="spellStart"/>
      <w:r w:rsidRPr="00F02199">
        <w:rPr>
          <w:sz w:val="28"/>
          <w:szCs w:val="28"/>
        </w:rPr>
        <w:t>фармацевтичних</w:t>
      </w:r>
      <w:proofErr w:type="spellEnd"/>
      <w:r w:rsidRPr="00F02199">
        <w:rPr>
          <w:sz w:val="28"/>
          <w:szCs w:val="28"/>
        </w:rPr>
        <w:t xml:space="preserve"> наук</w:t>
      </w:r>
      <w:r w:rsidRPr="00F02199">
        <w:rPr>
          <w:sz w:val="28"/>
          <w:szCs w:val="28"/>
          <w:lang w:val="uk-UA"/>
        </w:rPr>
        <w:t xml:space="preserve">, </w:t>
      </w:r>
      <w:r w:rsidRPr="00F02199">
        <w:rPr>
          <w:sz w:val="28"/>
          <w:szCs w:val="28"/>
        </w:rPr>
        <w:t xml:space="preserve">доцент </w:t>
      </w:r>
      <w:proofErr w:type="spellStart"/>
      <w:r w:rsidRPr="00F02199">
        <w:rPr>
          <w:sz w:val="28"/>
          <w:szCs w:val="28"/>
        </w:rPr>
        <w:t>кафедри</w:t>
      </w:r>
      <w:proofErr w:type="spellEnd"/>
      <w:r w:rsidRPr="00F02199">
        <w:rPr>
          <w:sz w:val="28"/>
          <w:szCs w:val="28"/>
        </w:rPr>
        <w:t xml:space="preserve"> </w:t>
      </w:r>
      <w:proofErr w:type="spellStart"/>
      <w:r w:rsidRPr="00F02199">
        <w:rPr>
          <w:sz w:val="28"/>
          <w:szCs w:val="28"/>
        </w:rPr>
        <w:t>фармакоекономіки</w:t>
      </w:r>
      <w:proofErr w:type="spellEnd"/>
      <w:r w:rsidRPr="00F02199">
        <w:rPr>
          <w:sz w:val="28"/>
          <w:szCs w:val="28"/>
        </w:rPr>
        <w:t xml:space="preserve"> Н</w:t>
      </w:r>
      <w:proofErr w:type="spellStart"/>
      <w:r w:rsidRPr="00F02199">
        <w:rPr>
          <w:sz w:val="28"/>
          <w:szCs w:val="28"/>
          <w:lang w:val="uk-UA"/>
        </w:rPr>
        <w:t>аціонального</w:t>
      </w:r>
      <w:proofErr w:type="spellEnd"/>
      <w:r w:rsidRPr="00F02199">
        <w:rPr>
          <w:sz w:val="28"/>
          <w:szCs w:val="28"/>
          <w:lang w:val="uk-UA"/>
        </w:rPr>
        <w:t xml:space="preserve"> фармацевтичного університету України</w:t>
      </w:r>
      <w:r>
        <w:rPr>
          <w:sz w:val="28"/>
          <w:szCs w:val="28"/>
          <w:lang w:val="uk-UA"/>
        </w:rPr>
        <w:t>.</w:t>
      </w:r>
    </w:p>
    <w:p w:rsidR="000A1C82" w:rsidRDefault="000A1C82" w:rsidP="000A1C82">
      <w:pPr>
        <w:spacing w:line="360" w:lineRule="auto"/>
        <w:ind w:firstLine="360"/>
        <w:jc w:val="both"/>
        <w:rPr>
          <w:b/>
          <w:spacing w:val="20"/>
          <w:sz w:val="28"/>
          <w:lang w:val="uk-UA"/>
        </w:rPr>
      </w:pPr>
    </w:p>
    <w:p w:rsidR="000A1C82" w:rsidRPr="00027167" w:rsidRDefault="000A1C82" w:rsidP="000A1C82">
      <w:pPr>
        <w:spacing w:line="360" w:lineRule="auto"/>
        <w:ind w:firstLine="360"/>
        <w:jc w:val="both"/>
        <w:rPr>
          <w:b/>
          <w:spacing w:val="20"/>
          <w:sz w:val="28"/>
          <w:lang w:val="uk-UA"/>
        </w:rPr>
      </w:pPr>
      <w:r>
        <w:rPr>
          <w:b/>
          <w:spacing w:val="20"/>
          <w:sz w:val="28"/>
          <w:lang w:val="uk-UA"/>
        </w:rPr>
        <w:t xml:space="preserve">2. </w:t>
      </w:r>
      <w:proofErr w:type="spellStart"/>
      <w:r w:rsidRPr="00DC1F52">
        <w:rPr>
          <w:b/>
          <w:spacing w:val="20"/>
          <w:sz w:val="28"/>
          <w:lang w:val="uk-UA"/>
        </w:rPr>
        <w:t>Морус</w:t>
      </w:r>
      <w:proofErr w:type="spellEnd"/>
      <w:r w:rsidRPr="00DC1F52">
        <w:rPr>
          <w:b/>
          <w:spacing w:val="20"/>
          <w:sz w:val="28"/>
          <w:lang w:val="uk-UA"/>
        </w:rPr>
        <w:t xml:space="preserve"> Тетяна Василівна</w:t>
      </w:r>
      <w:r>
        <w:rPr>
          <w:b/>
          <w:spacing w:val="20"/>
          <w:sz w:val="28"/>
          <w:lang w:val="uk-UA"/>
        </w:rPr>
        <w:t xml:space="preserve"> </w:t>
      </w:r>
    </w:p>
    <w:p w:rsidR="000A1C82" w:rsidRPr="00F02199" w:rsidRDefault="000A1C82" w:rsidP="000A1C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D402B">
        <w:rPr>
          <w:sz w:val="28"/>
          <w:szCs w:val="28"/>
          <w:lang w:val="uk-UA"/>
        </w:rPr>
        <w:t>Магістрант спеціальності “Клінічна фармація” Н</w:t>
      </w:r>
      <w:r w:rsidRPr="00F02199">
        <w:rPr>
          <w:sz w:val="28"/>
          <w:szCs w:val="28"/>
          <w:lang w:val="uk-UA"/>
        </w:rPr>
        <w:t>аціонального фармацевтичного університету України</w:t>
      </w:r>
      <w:r>
        <w:rPr>
          <w:sz w:val="28"/>
          <w:szCs w:val="28"/>
          <w:lang w:val="uk-UA"/>
        </w:rPr>
        <w:t>.</w:t>
      </w:r>
    </w:p>
    <w:p w:rsidR="000A1C82" w:rsidRPr="004D402B" w:rsidRDefault="000A1C82" w:rsidP="000A1C82">
      <w:pPr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</w:p>
    <w:p w:rsidR="000A1C82" w:rsidRPr="00AA5012" w:rsidRDefault="000A1C82" w:rsidP="000A1C82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A5012">
        <w:rPr>
          <w:b/>
          <w:sz w:val="28"/>
          <w:szCs w:val="28"/>
        </w:rPr>
        <w:t xml:space="preserve">Адреса для </w:t>
      </w:r>
      <w:proofErr w:type="spellStart"/>
      <w:r w:rsidRPr="00AA5012">
        <w:rPr>
          <w:b/>
          <w:sz w:val="28"/>
          <w:szCs w:val="28"/>
        </w:rPr>
        <w:t>листування</w:t>
      </w:r>
      <w:proofErr w:type="spellEnd"/>
      <w:r w:rsidRPr="00AA5012">
        <w:rPr>
          <w:b/>
          <w:sz w:val="28"/>
          <w:szCs w:val="28"/>
        </w:rPr>
        <w:t>:</w:t>
      </w:r>
    </w:p>
    <w:p w:rsidR="000A1C82" w:rsidRPr="00AA5012" w:rsidRDefault="000A1C82" w:rsidP="000A1C8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A5012">
        <w:rPr>
          <w:sz w:val="28"/>
          <w:szCs w:val="28"/>
        </w:rPr>
        <w:t>61</w:t>
      </w:r>
      <w:r w:rsidRPr="00AA501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6</w:t>
      </w:r>
      <w:r w:rsidRPr="00AA5012">
        <w:rPr>
          <w:sz w:val="28"/>
          <w:szCs w:val="28"/>
          <w:lang w:val="uk-UA"/>
        </w:rPr>
        <w:t>8</w:t>
      </w:r>
      <w:r w:rsidRPr="00AA5012">
        <w:rPr>
          <w:sz w:val="28"/>
          <w:szCs w:val="28"/>
        </w:rPr>
        <w:t>, м.</w:t>
      </w:r>
      <w:r w:rsidRPr="00AA5012">
        <w:rPr>
          <w:sz w:val="28"/>
          <w:szCs w:val="28"/>
          <w:lang w:val="uk-UA"/>
        </w:rPr>
        <w:t xml:space="preserve"> </w:t>
      </w:r>
      <w:proofErr w:type="spellStart"/>
      <w:r w:rsidRPr="00AA5012">
        <w:rPr>
          <w:sz w:val="28"/>
          <w:szCs w:val="28"/>
        </w:rPr>
        <w:t>Харків</w:t>
      </w:r>
      <w:proofErr w:type="spellEnd"/>
      <w:r w:rsidRPr="00AA5012">
        <w:rPr>
          <w:sz w:val="28"/>
          <w:szCs w:val="28"/>
        </w:rPr>
        <w:t xml:space="preserve">, </w:t>
      </w:r>
      <w:proofErr w:type="spellStart"/>
      <w:r w:rsidRPr="00AA5012">
        <w:rPr>
          <w:sz w:val="28"/>
          <w:szCs w:val="28"/>
        </w:rPr>
        <w:t>вул</w:t>
      </w:r>
      <w:proofErr w:type="spellEnd"/>
      <w:r w:rsidRPr="00AA501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uk-UA"/>
        </w:rPr>
        <w:t>Валентинівська</w:t>
      </w:r>
      <w:proofErr w:type="spellEnd"/>
      <w:r w:rsidRPr="00AA5012">
        <w:rPr>
          <w:sz w:val="28"/>
          <w:szCs w:val="28"/>
          <w:lang w:val="uk-UA"/>
        </w:rPr>
        <w:t>, 4</w:t>
      </w:r>
      <w:r>
        <w:rPr>
          <w:sz w:val="28"/>
          <w:szCs w:val="28"/>
          <w:lang w:val="uk-UA"/>
        </w:rPr>
        <w:t xml:space="preserve"> (вул.. Блюхера, 4), </w:t>
      </w:r>
      <w:r w:rsidRPr="00AA5012">
        <w:rPr>
          <w:sz w:val="28"/>
          <w:szCs w:val="28"/>
        </w:rPr>
        <w:t xml:space="preserve">кафедра </w:t>
      </w:r>
      <w:proofErr w:type="spellStart"/>
      <w:r w:rsidRPr="00AA5012">
        <w:rPr>
          <w:sz w:val="28"/>
          <w:szCs w:val="28"/>
        </w:rPr>
        <w:t>фармакоекономіки</w:t>
      </w:r>
      <w:proofErr w:type="spellEnd"/>
      <w:r w:rsidRPr="00AA5012">
        <w:rPr>
          <w:sz w:val="28"/>
          <w:szCs w:val="28"/>
        </w:rPr>
        <w:t xml:space="preserve"> </w:t>
      </w:r>
      <w:proofErr w:type="spellStart"/>
      <w:r w:rsidRPr="00AA5012">
        <w:rPr>
          <w:sz w:val="28"/>
          <w:szCs w:val="28"/>
        </w:rPr>
        <w:t>Національного</w:t>
      </w:r>
      <w:proofErr w:type="spellEnd"/>
      <w:r w:rsidRPr="00AA5012">
        <w:rPr>
          <w:sz w:val="28"/>
          <w:szCs w:val="28"/>
        </w:rPr>
        <w:t xml:space="preserve"> </w:t>
      </w:r>
      <w:proofErr w:type="spellStart"/>
      <w:r w:rsidRPr="00AA5012">
        <w:rPr>
          <w:sz w:val="28"/>
          <w:szCs w:val="28"/>
        </w:rPr>
        <w:t>фармацевти</w:t>
      </w:r>
      <w:r w:rsidRPr="00AA5012">
        <w:rPr>
          <w:sz w:val="28"/>
          <w:szCs w:val="28"/>
        </w:rPr>
        <w:t>ч</w:t>
      </w:r>
      <w:r w:rsidRPr="00AA5012">
        <w:rPr>
          <w:sz w:val="28"/>
          <w:szCs w:val="28"/>
        </w:rPr>
        <w:t>ного</w:t>
      </w:r>
      <w:proofErr w:type="spellEnd"/>
      <w:r w:rsidRPr="00AA5012">
        <w:rPr>
          <w:sz w:val="28"/>
          <w:szCs w:val="28"/>
        </w:rPr>
        <w:t xml:space="preserve"> </w:t>
      </w:r>
      <w:r w:rsidRPr="00AA5012">
        <w:rPr>
          <w:sz w:val="28"/>
          <w:szCs w:val="28"/>
          <w:lang w:val="uk-UA"/>
        </w:rPr>
        <w:t>у</w:t>
      </w:r>
      <w:proofErr w:type="spellStart"/>
      <w:r w:rsidRPr="00AA5012">
        <w:rPr>
          <w:sz w:val="28"/>
          <w:szCs w:val="28"/>
        </w:rPr>
        <w:t>ніверситету</w:t>
      </w:r>
      <w:proofErr w:type="spellEnd"/>
      <w:r w:rsidRPr="00AA5012">
        <w:rPr>
          <w:sz w:val="28"/>
          <w:szCs w:val="28"/>
          <w:lang w:val="uk-UA"/>
        </w:rPr>
        <w:t xml:space="preserve"> України</w:t>
      </w:r>
    </w:p>
    <w:p w:rsidR="000A1C82" w:rsidRPr="00AA5012" w:rsidRDefault="000A1C82" w:rsidP="000A1C8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A5012">
        <w:rPr>
          <w:sz w:val="28"/>
          <w:szCs w:val="28"/>
        </w:rPr>
        <w:t>тел.- факс  (057</w:t>
      </w:r>
      <w:r w:rsidRPr="00AA5012">
        <w:rPr>
          <w:sz w:val="28"/>
          <w:szCs w:val="28"/>
          <w:lang w:val="uk-UA"/>
        </w:rPr>
        <w:t>2</w:t>
      </w:r>
      <w:r w:rsidRPr="00AA5012">
        <w:rPr>
          <w:sz w:val="28"/>
          <w:szCs w:val="28"/>
        </w:rPr>
        <w:t xml:space="preserve">) </w:t>
      </w:r>
      <w:r w:rsidRPr="00AA5012">
        <w:rPr>
          <w:sz w:val="28"/>
          <w:szCs w:val="28"/>
          <w:lang w:val="uk-UA"/>
        </w:rPr>
        <w:t>65</w:t>
      </w:r>
      <w:r w:rsidRPr="00AA5012">
        <w:rPr>
          <w:sz w:val="28"/>
          <w:szCs w:val="28"/>
        </w:rPr>
        <w:t>-</w:t>
      </w:r>
      <w:r w:rsidRPr="00AA5012">
        <w:rPr>
          <w:sz w:val="28"/>
          <w:szCs w:val="28"/>
          <w:lang w:val="uk-UA"/>
        </w:rPr>
        <w:t>88-95</w:t>
      </w:r>
      <w:r w:rsidRPr="00AA5012">
        <w:rPr>
          <w:sz w:val="28"/>
          <w:szCs w:val="28"/>
        </w:rPr>
        <w:t>.</w:t>
      </w:r>
    </w:p>
    <w:p w:rsidR="000A1C82" w:rsidRDefault="000A1C82" w:rsidP="000A1C82">
      <w:pPr>
        <w:spacing w:line="360" w:lineRule="auto"/>
        <w:ind w:firstLine="72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r>
        <w:rPr>
          <w:bCs/>
          <w:sz w:val="28"/>
          <w:szCs w:val="28"/>
          <w:lang w:val="uk-UA"/>
        </w:rPr>
        <w:t>ph-</w:t>
      </w:r>
      <w:proofErr w:type="spellStart"/>
      <w:r>
        <w:rPr>
          <w:bCs/>
          <w:sz w:val="28"/>
          <w:szCs w:val="28"/>
          <w:lang w:val="uk-UA"/>
        </w:rPr>
        <w:t>econom</w:t>
      </w:r>
      <w:proofErr w:type="spellEnd"/>
      <w:r>
        <w:rPr>
          <w:bCs/>
          <w:sz w:val="28"/>
          <w:szCs w:val="28"/>
          <w:lang w:val="uk-UA"/>
        </w:rPr>
        <w:t>@</w:t>
      </w:r>
      <w:proofErr w:type="spellStart"/>
      <w:r>
        <w:rPr>
          <w:bCs/>
          <w:sz w:val="28"/>
          <w:szCs w:val="28"/>
          <w:lang w:val="uk-UA"/>
        </w:rPr>
        <w:t>nuph.edu.ua</w:t>
      </w:r>
      <w:proofErr w:type="spellEnd"/>
      <w:r>
        <w:rPr>
          <w:bCs/>
          <w:sz w:val="28"/>
          <w:szCs w:val="28"/>
          <w:lang w:val="uk-UA"/>
        </w:rPr>
        <w:t xml:space="preserve"> – кафедра </w:t>
      </w:r>
      <w:proofErr w:type="spellStart"/>
      <w:r>
        <w:rPr>
          <w:bCs/>
          <w:sz w:val="28"/>
          <w:szCs w:val="28"/>
          <w:lang w:val="uk-UA"/>
        </w:rPr>
        <w:t>фармакоекономіки</w:t>
      </w:r>
      <w:proofErr w:type="spellEnd"/>
    </w:p>
    <w:p w:rsidR="00B56CCD" w:rsidRPr="000A1C82" w:rsidRDefault="00B56CCD" w:rsidP="000A1C82">
      <w:pPr>
        <w:tabs>
          <w:tab w:val="left" w:pos="1080"/>
        </w:tabs>
        <w:spacing w:line="360" w:lineRule="auto"/>
        <w:ind w:left="567"/>
        <w:jc w:val="both"/>
        <w:rPr>
          <w:iCs/>
          <w:sz w:val="28"/>
          <w:szCs w:val="28"/>
          <w:lang w:val="uk-UA"/>
        </w:rPr>
      </w:pPr>
    </w:p>
    <w:sectPr w:rsidR="00B56CCD" w:rsidRPr="000A1C82" w:rsidSect="00675164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2B" w:rsidRDefault="004C6E2B">
      <w:r>
        <w:separator/>
      </w:r>
    </w:p>
  </w:endnote>
  <w:endnote w:type="continuationSeparator" w:id="0">
    <w:p w:rsidR="004C6E2B" w:rsidRDefault="004C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E2B" w:rsidRDefault="004C6E2B">
      <w:r>
        <w:separator/>
      </w:r>
    </w:p>
  </w:footnote>
  <w:footnote w:type="continuationSeparator" w:id="0">
    <w:p w:rsidR="004C6E2B" w:rsidRDefault="004C6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0D" w:rsidRDefault="00E82D6A" w:rsidP="005A239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C230D" w:rsidRDefault="004C6E2B" w:rsidP="00E922F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652146"/>
      <w:docPartObj>
        <w:docPartGallery w:val="Page Numbers (Top of Page)"/>
        <w:docPartUnique/>
      </w:docPartObj>
    </w:sdtPr>
    <w:sdtEndPr/>
    <w:sdtContent>
      <w:p w:rsidR="00280355" w:rsidRDefault="0028035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C82">
          <w:rPr>
            <w:noProof/>
          </w:rPr>
          <w:t>9</w:t>
        </w:r>
        <w:r>
          <w:fldChar w:fldCharType="end"/>
        </w:r>
      </w:p>
    </w:sdtContent>
  </w:sdt>
  <w:p w:rsidR="00DC230D" w:rsidRDefault="004C6E2B" w:rsidP="00E922F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2326"/>
    <w:multiLevelType w:val="hybridMultilevel"/>
    <w:tmpl w:val="C8C821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3246205"/>
    <w:multiLevelType w:val="hybridMultilevel"/>
    <w:tmpl w:val="7ACEBB80"/>
    <w:lvl w:ilvl="0" w:tplc="B5B2F0D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34167697"/>
    <w:multiLevelType w:val="hybridMultilevel"/>
    <w:tmpl w:val="CAFE0A52"/>
    <w:lvl w:ilvl="0" w:tplc="0352D7F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5E0EFD"/>
    <w:multiLevelType w:val="hybridMultilevel"/>
    <w:tmpl w:val="C8C821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3ADD7EC6"/>
    <w:multiLevelType w:val="hybridMultilevel"/>
    <w:tmpl w:val="29C49778"/>
    <w:lvl w:ilvl="0" w:tplc="3C6699B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A6225"/>
    <w:multiLevelType w:val="hybridMultilevel"/>
    <w:tmpl w:val="C8C821F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416F0B19"/>
    <w:multiLevelType w:val="hybridMultilevel"/>
    <w:tmpl w:val="F224DDD6"/>
    <w:lvl w:ilvl="0" w:tplc="D4ECE6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F391E3E"/>
    <w:multiLevelType w:val="hybridMultilevel"/>
    <w:tmpl w:val="3CFA9396"/>
    <w:lvl w:ilvl="0" w:tplc="E18A2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E715B6"/>
    <w:multiLevelType w:val="hybridMultilevel"/>
    <w:tmpl w:val="75DCED84"/>
    <w:lvl w:ilvl="0" w:tplc="6E46E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C5"/>
    <w:rsid w:val="00000652"/>
    <w:rsid w:val="00025FCD"/>
    <w:rsid w:val="0003112C"/>
    <w:rsid w:val="00034538"/>
    <w:rsid w:val="0003679F"/>
    <w:rsid w:val="00041E53"/>
    <w:rsid w:val="00045315"/>
    <w:rsid w:val="0004570D"/>
    <w:rsid w:val="0006154B"/>
    <w:rsid w:val="00064AB3"/>
    <w:rsid w:val="00066040"/>
    <w:rsid w:val="00067F08"/>
    <w:rsid w:val="00094740"/>
    <w:rsid w:val="000A1C82"/>
    <w:rsid w:val="000A2367"/>
    <w:rsid w:val="000B1166"/>
    <w:rsid w:val="000C4154"/>
    <w:rsid w:val="000D2A8D"/>
    <w:rsid w:val="000E6EE5"/>
    <w:rsid w:val="00110B09"/>
    <w:rsid w:val="001167C7"/>
    <w:rsid w:val="001279D0"/>
    <w:rsid w:val="00131AB3"/>
    <w:rsid w:val="00135ACA"/>
    <w:rsid w:val="0015523C"/>
    <w:rsid w:val="00177CAB"/>
    <w:rsid w:val="00186D85"/>
    <w:rsid w:val="00187D62"/>
    <w:rsid w:val="001914EE"/>
    <w:rsid w:val="001A522A"/>
    <w:rsid w:val="001C6275"/>
    <w:rsid w:val="001C7E49"/>
    <w:rsid w:val="001D0AD8"/>
    <w:rsid w:val="001D32F5"/>
    <w:rsid w:val="001D588C"/>
    <w:rsid w:val="001F2E8C"/>
    <w:rsid w:val="001F71FF"/>
    <w:rsid w:val="001F72A4"/>
    <w:rsid w:val="00222BB2"/>
    <w:rsid w:val="002420AC"/>
    <w:rsid w:val="00252E4F"/>
    <w:rsid w:val="0025372A"/>
    <w:rsid w:val="0025461B"/>
    <w:rsid w:val="002711B5"/>
    <w:rsid w:val="00272E8A"/>
    <w:rsid w:val="0027496A"/>
    <w:rsid w:val="00280355"/>
    <w:rsid w:val="002C3416"/>
    <w:rsid w:val="002C3B2C"/>
    <w:rsid w:val="002D673D"/>
    <w:rsid w:val="002E77E6"/>
    <w:rsid w:val="003171F6"/>
    <w:rsid w:val="00322B89"/>
    <w:rsid w:val="00325816"/>
    <w:rsid w:val="00325A7F"/>
    <w:rsid w:val="003269A3"/>
    <w:rsid w:val="00332BF5"/>
    <w:rsid w:val="00346AC1"/>
    <w:rsid w:val="0035047E"/>
    <w:rsid w:val="0036756A"/>
    <w:rsid w:val="00374E56"/>
    <w:rsid w:val="0038499F"/>
    <w:rsid w:val="0039068E"/>
    <w:rsid w:val="003938ED"/>
    <w:rsid w:val="003B54D9"/>
    <w:rsid w:val="003C0378"/>
    <w:rsid w:val="003C279D"/>
    <w:rsid w:val="003E12D8"/>
    <w:rsid w:val="003E32D1"/>
    <w:rsid w:val="003E5749"/>
    <w:rsid w:val="003E7775"/>
    <w:rsid w:val="003F2CB1"/>
    <w:rsid w:val="00407976"/>
    <w:rsid w:val="00410384"/>
    <w:rsid w:val="00424833"/>
    <w:rsid w:val="004276B7"/>
    <w:rsid w:val="004313A5"/>
    <w:rsid w:val="004320BC"/>
    <w:rsid w:val="00434AC9"/>
    <w:rsid w:val="004455FF"/>
    <w:rsid w:val="004547BD"/>
    <w:rsid w:val="00461F96"/>
    <w:rsid w:val="0046605A"/>
    <w:rsid w:val="004800C1"/>
    <w:rsid w:val="00484449"/>
    <w:rsid w:val="004A60DB"/>
    <w:rsid w:val="004B2C4A"/>
    <w:rsid w:val="004B5BF0"/>
    <w:rsid w:val="004C6E2B"/>
    <w:rsid w:val="004C7DEB"/>
    <w:rsid w:val="004D23C5"/>
    <w:rsid w:val="005063BD"/>
    <w:rsid w:val="00512357"/>
    <w:rsid w:val="00523AF7"/>
    <w:rsid w:val="0053185F"/>
    <w:rsid w:val="00535FA3"/>
    <w:rsid w:val="0054050C"/>
    <w:rsid w:val="0054486D"/>
    <w:rsid w:val="00551E25"/>
    <w:rsid w:val="00554047"/>
    <w:rsid w:val="0055640D"/>
    <w:rsid w:val="005629C4"/>
    <w:rsid w:val="00576782"/>
    <w:rsid w:val="00583F46"/>
    <w:rsid w:val="00584246"/>
    <w:rsid w:val="00586AAD"/>
    <w:rsid w:val="00587636"/>
    <w:rsid w:val="00595587"/>
    <w:rsid w:val="005A370F"/>
    <w:rsid w:val="005A6255"/>
    <w:rsid w:val="005A65FF"/>
    <w:rsid w:val="005B4310"/>
    <w:rsid w:val="005C0E4B"/>
    <w:rsid w:val="005C4DEB"/>
    <w:rsid w:val="005C60CC"/>
    <w:rsid w:val="005C6301"/>
    <w:rsid w:val="005D1460"/>
    <w:rsid w:val="005E035C"/>
    <w:rsid w:val="00603469"/>
    <w:rsid w:val="00610820"/>
    <w:rsid w:val="00630706"/>
    <w:rsid w:val="0063484C"/>
    <w:rsid w:val="00636D48"/>
    <w:rsid w:val="006534C2"/>
    <w:rsid w:val="00655557"/>
    <w:rsid w:val="00657EA8"/>
    <w:rsid w:val="0066100D"/>
    <w:rsid w:val="00664AC1"/>
    <w:rsid w:val="00665340"/>
    <w:rsid w:val="00671F4F"/>
    <w:rsid w:val="00675164"/>
    <w:rsid w:val="00676972"/>
    <w:rsid w:val="00676C36"/>
    <w:rsid w:val="00686555"/>
    <w:rsid w:val="0068715F"/>
    <w:rsid w:val="00691A78"/>
    <w:rsid w:val="006A2406"/>
    <w:rsid w:val="006C5B62"/>
    <w:rsid w:val="006E3DA0"/>
    <w:rsid w:val="006F1641"/>
    <w:rsid w:val="006F3613"/>
    <w:rsid w:val="006F5B66"/>
    <w:rsid w:val="006F640D"/>
    <w:rsid w:val="00700700"/>
    <w:rsid w:val="00704F3E"/>
    <w:rsid w:val="0071568A"/>
    <w:rsid w:val="00717C8D"/>
    <w:rsid w:val="00720C31"/>
    <w:rsid w:val="00724FA7"/>
    <w:rsid w:val="007353BF"/>
    <w:rsid w:val="00742219"/>
    <w:rsid w:val="00767A98"/>
    <w:rsid w:val="007768DC"/>
    <w:rsid w:val="0078131F"/>
    <w:rsid w:val="00782F23"/>
    <w:rsid w:val="0078502D"/>
    <w:rsid w:val="00787FB0"/>
    <w:rsid w:val="007B335F"/>
    <w:rsid w:val="007B3387"/>
    <w:rsid w:val="007B33C8"/>
    <w:rsid w:val="007C3254"/>
    <w:rsid w:val="007D38F0"/>
    <w:rsid w:val="007D5BEA"/>
    <w:rsid w:val="00802CAB"/>
    <w:rsid w:val="00802DBD"/>
    <w:rsid w:val="008037B9"/>
    <w:rsid w:val="00804C3A"/>
    <w:rsid w:val="00814011"/>
    <w:rsid w:val="008346ED"/>
    <w:rsid w:val="00836132"/>
    <w:rsid w:val="0084757D"/>
    <w:rsid w:val="00847FAC"/>
    <w:rsid w:val="0085045B"/>
    <w:rsid w:val="008505E7"/>
    <w:rsid w:val="00860FB7"/>
    <w:rsid w:val="00881FEE"/>
    <w:rsid w:val="00891818"/>
    <w:rsid w:val="008A155B"/>
    <w:rsid w:val="008B075E"/>
    <w:rsid w:val="008B19CE"/>
    <w:rsid w:val="008C2FAC"/>
    <w:rsid w:val="008E013F"/>
    <w:rsid w:val="008E0695"/>
    <w:rsid w:val="008F53E7"/>
    <w:rsid w:val="008F7449"/>
    <w:rsid w:val="00911C2F"/>
    <w:rsid w:val="00930FE2"/>
    <w:rsid w:val="0093459E"/>
    <w:rsid w:val="00943AD1"/>
    <w:rsid w:val="00961A89"/>
    <w:rsid w:val="0098725E"/>
    <w:rsid w:val="009875A1"/>
    <w:rsid w:val="009B234D"/>
    <w:rsid w:val="009C2EBE"/>
    <w:rsid w:val="009E53EE"/>
    <w:rsid w:val="009F1D3F"/>
    <w:rsid w:val="00A2767F"/>
    <w:rsid w:val="00A3034D"/>
    <w:rsid w:val="00A414FC"/>
    <w:rsid w:val="00A41D9B"/>
    <w:rsid w:val="00A622E7"/>
    <w:rsid w:val="00A713FC"/>
    <w:rsid w:val="00A83CE0"/>
    <w:rsid w:val="00A96FF4"/>
    <w:rsid w:val="00AA6FE8"/>
    <w:rsid w:val="00AB3DC5"/>
    <w:rsid w:val="00AD7BEF"/>
    <w:rsid w:val="00B00288"/>
    <w:rsid w:val="00B00B0B"/>
    <w:rsid w:val="00B0217E"/>
    <w:rsid w:val="00B15F27"/>
    <w:rsid w:val="00B31B16"/>
    <w:rsid w:val="00B4591A"/>
    <w:rsid w:val="00B56CCD"/>
    <w:rsid w:val="00B578EC"/>
    <w:rsid w:val="00B72382"/>
    <w:rsid w:val="00B729EA"/>
    <w:rsid w:val="00B734EE"/>
    <w:rsid w:val="00B9618B"/>
    <w:rsid w:val="00B974BA"/>
    <w:rsid w:val="00B97B0E"/>
    <w:rsid w:val="00BA0D39"/>
    <w:rsid w:val="00BA379A"/>
    <w:rsid w:val="00BA6A4B"/>
    <w:rsid w:val="00BB1F48"/>
    <w:rsid w:val="00BB421C"/>
    <w:rsid w:val="00BB66CF"/>
    <w:rsid w:val="00BD0A40"/>
    <w:rsid w:val="00BD1269"/>
    <w:rsid w:val="00BD38E9"/>
    <w:rsid w:val="00BD5EE2"/>
    <w:rsid w:val="00BE66F2"/>
    <w:rsid w:val="00C013AC"/>
    <w:rsid w:val="00C069A3"/>
    <w:rsid w:val="00C115A1"/>
    <w:rsid w:val="00C232DC"/>
    <w:rsid w:val="00C24D7A"/>
    <w:rsid w:val="00C332A6"/>
    <w:rsid w:val="00C37E26"/>
    <w:rsid w:val="00C47EA5"/>
    <w:rsid w:val="00C760C3"/>
    <w:rsid w:val="00C77FDE"/>
    <w:rsid w:val="00C86931"/>
    <w:rsid w:val="00C9194A"/>
    <w:rsid w:val="00C91A50"/>
    <w:rsid w:val="00CA3C1D"/>
    <w:rsid w:val="00CA7F8E"/>
    <w:rsid w:val="00CC0531"/>
    <w:rsid w:val="00CC29BE"/>
    <w:rsid w:val="00D02BC5"/>
    <w:rsid w:val="00D04EAB"/>
    <w:rsid w:val="00D06B69"/>
    <w:rsid w:val="00D16ADE"/>
    <w:rsid w:val="00D35BF0"/>
    <w:rsid w:val="00D44C68"/>
    <w:rsid w:val="00D6170B"/>
    <w:rsid w:val="00D85743"/>
    <w:rsid w:val="00D908B9"/>
    <w:rsid w:val="00DA0094"/>
    <w:rsid w:val="00DC0588"/>
    <w:rsid w:val="00DD0182"/>
    <w:rsid w:val="00DD04BB"/>
    <w:rsid w:val="00DF6717"/>
    <w:rsid w:val="00DF6A74"/>
    <w:rsid w:val="00E243F5"/>
    <w:rsid w:val="00E27A23"/>
    <w:rsid w:val="00E40D14"/>
    <w:rsid w:val="00E42088"/>
    <w:rsid w:val="00E5458D"/>
    <w:rsid w:val="00E672A4"/>
    <w:rsid w:val="00E7533A"/>
    <w:rsid w:val="00E82D6A"/>
    <w:rsid w:val="00EA4551"/>
    <w:rsid w:val="00EC636A"/>
    <w:rsid w:val="00EE25EF"/>
    <w:rsid w:val="00F04A70"/>
    <w:rsid w:val="00F077BC"/>
    <w:rsid w:val="00F1675F"/>
    <w:rsid w:val="00F16859"/>
    <w:rsid w:val="00F21BF0"/>
    <w:rsid w:val="00F527E8"/>
    <w:rsid w:val="00F533AF"/>
    <w:rsid w:val="00F53949"/>
    <w:rsid w:val="00F55794"/>
    <w:rsid w:val="00F579E3"/>
    <w:rsid w:val="00F614C8"/>
    <w:rsid w:val="00F65531"/>
    <w:rsid w:val="00F6659D"/>
    <w:rsid w:val="00F7700A"/>
    <w:rsid w:val="00F82FE3"/>
    <w:rsid w:val="00F962EF"/>
    <w:rsid w:val="00F96ADD"/>
    <w:rsid w:val="00FA3262"/>
    <w:rsid w:val="00FA3F7C"/>
    <w:rsid w:val="00FA621A"/>
    <w:rsid w:val="00FB3A4C"/>
    <w:rsid w:val="00FC00FA"/>
    <w:rsid w:val="00FE788F"/>
    <w:rsid w:val="00FF759E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76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17C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uiPriority w:val="99"/>
    <w:rsid w:val="004D23C5"/>
  </w:style>
  <w:style w:type="paragraph" w:styleId="a3">
    <w:name w:val="Normal (Web)"/>
    <w:basedOn w:val="a"/>
    <w:uiPriority w:val="99"/>
    <w:rsid w:val="00BD5EE2"/>
    <w:pPr>
      <w:spacing w:before="75" w:after="75"/>
      <w:jc w:val="both"/>
    </w:pPr>
    <w:rPr>
      <w:rFonts w:ascii="Verdana" w:hAnsi="Verdana"/>
      <w:color w:val="000000"/>
      <w:sz w:val="17"/>
      <w:szCs w:val="17"/>
    </w:rPr>
  </w:style>
  <w:style w:type="character" w:styleId="a4">
    <w:name w:val="page number"/>
    <w:uiPriority w:val="99"/>
    <w:rsid w:val="00BD5EE2"/>
    <w:rPr>
      <w:rFonts w:cs="Times New Roman"/>
    </w:rPr>
  </w:style>
  <w:style w:type="paragraph" w:styleId="a5">
    <w:name w:val="header"/>
    <w:basedOn w:val="a"/>
    <w:link w:val="a6"/>
    <w:uiPriority w:val="99"/>
    <w:rsid w:val="00BD5EE2"/>
    <w:pPr>
      <w:tabs>
        <w:tab w:val="center" w:pos="4536"/>
        <w:tab w:val="right" w:pos="9072"/>
      </w:tabs>
    </w:pPr>
    <w:rPr>
      <w:rFonts w:ascii="Courier New" w:eastAsia="Calibri" w:hAnsi="Courier New"/>
      <w:spacing w:val="-20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D5EE2"/>
    <w:rPr>
      <w:rFonts w:ascii="Courier New" w:eastAsia="Calibri" w:hAnsi="Courier New" w:cs="Times New Roman"/>
      <w:spacing w:val="-20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D5EE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qFormat/>
    <w:rsid w:val="00FA3F7C"/>
    <w:rPr>
      <w:i/>
      <w:iCs/>
    </w:rPr>
  </w:style>
  <w:style w:type="paragraph" w:styleId="a9">
    <w:name w:val="footer"/>
    <w:basedOn w:val="a"/>
    <w:link w:val="aa"/>
    <w:uiPriority w:val="99"/>
    <w:unhideWhenUsed/>
    <w:rsid w:val="00BE66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66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7C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unhideWhenUsed/>
    <w:rsid w:val="00717C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7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906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06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"/>
    <w:basedOn w:val="a"/>
    <w:rsid w:val="00655557"/>
    <w:rPr>
      <w:rFonts w:ascii="Verdana" w:hAnsi="Verdana" w:cs="Verdana"/>
      <w:sz w:val="20"/>
      <w:szCs w:val="20"/>
      <w:lang w:val="en-US" w:eastAsia="en-US"/>
    </w:rPr>
  </w:style>
  <w:style w:type="character" w:customStyle="1" w:styleId="shorttext">
    <w:name w:val="short_text"/>
    <w:basedOn w:val="a0"/>
    <w:rsid w:val="00610820"/>
  </w:style>
  <w:style w:type="character" w:customStyle="1" w:styleId="alt-edited">
    <w:name w:val="alt-edited"/>
    <w:basedOn w:val="a0"/>
    <w:rsid w:val="00610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76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17C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uiPriority w:val="99"/>
    <w:rsid w:val="004D23C5"/>
  </w:style>
  <w:style w:type="paragraph" w:styleId="a3">
    <w:name w:val="Normal (Web)"/>
    <w:basedOn w:val="a"/>
    <w:uiPriority w:val="99"/>
    <w:rsid w:val="00BD5EE2"/>
    <w:pPr>
      <w:spacing w:before="75" w:after="75"/>
      <w:jc w:val="both"/>
    </w:pPr>
    <w:rPr>
      <w:rFonts w:ascii="Verdana" w:hAnsi="Verdana"/>
      <w:color w:val="000000"/>
      <w:sz w:val="17"/>
      <w:szCs w:val="17"/>
    </w:rPr>
  </w:style>
  <w:style w:type="character" w:styleId="a4">
    <w:name w:val="page number"/>
    <w:uiPriority w:val="99"/>
    <w:rsid w:val="00BD5EE2"/>
    <w:rPr>
      <w:rFonts w:cs="Times New Roman"/>
    </w:rPr>
  </w:style>
  <w:style w:type="paragraph" w:styleId="a5">
    <w:name w:val="header"/>
    <w:basedOn w:val="a"/>
    <w:link w:val="a6"/>
    <w:uiPriority w:val="99"/>
    <w:rsid w:val="00BD5EE2"/>
    <w:pPr>
      <w:tabs>
        <w:tab w:val="center" w:pos="4536"/>
        <w:tab w:val="right" w:pos="9072"/>
      </w:tabs>
    </w:pPr>
    <w:rPr>
      <w:rFonts w:ascii="Courier New" w:eastAsia="Calibri" w:hAnsi="Courier New"/>
      <w:spacing w:val="-20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D5EE2"/>
    <w:rPr>
      <w:rFonts w:ascii="Courier New" w:eastAsia="Calibri" w:hAnsi="Courier New" w:cs="Times New Roman"/>
      <w:spacing w:val="-20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D5EE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qFormat/>
    <w:rsid w:val="00FA3F7C"/>
    <w:rPr>
      <w:i/>
      <w:iCs/>
    </w:rPr>
  </w:style>
  <w:style w:type="paragraph" w:styleId="a9">
    <w:name w:val="footer"/>
    <w:basedOn w:val="a"/>
    <w:link w:val="aa"/>
    <w:uiPriority w:val="99"/>
    <w:unhideWhenUsed/>
    <w:rsid w:val="00BE66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66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7C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unhideWhenUsed/>
    <w:rsid w:val="00717C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7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906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06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"/>
    <w:basedOn w:val="a"/>
    <w:rsid w:val="00655557"/>
    <w:rPr>
      <w:rFonts w:ascii="Verdana" w:hAnsi="Verdana" w:cs="Verdana"/>
      <w:sz w:val="20"/>
      <w:szCs w:val="20"/>
      <w:lang w:val="en-US" w:eastAsia="en-US"/>
    </w:rPr>
  </w:style>
  <w:style w:type="character" w:customStyle="1" w:styleId="shorttext">
    <w:name w:val="short_text"/>
    <w:basedOn w:val="a0"/>
    <w:rsid w:val="00610820"/>
  </w:style>
  <w:style w:type="character" w:customStyle="1" w:styleId="alt-edited">
    <w:name w:val="alt-edited"/>
    <w:basedOn w:val="a0"/>
    <w:rsid w:val="00610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mpendium.com.ua/pric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.ua/url?sa=t&amp;rct=j&amp;q=&amp;esrc=s&amp;source=web&amp;cd=1&amp;cad=rja&amp;uact=8&amp;ved=0ahUKEwiYnIqulKzMAhVDMZoKHen7C8QQFggbMAA&amp;url=http%3A%2F%2Fcompendium.com.ua%2F&amp;usg=AFQjCNHwLIZtoAiRLPW2hYUiAy9-eK9bmw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9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ПК</dc:creator>
  <cp:keywords/>
  <dc:description/>
  <cp:lastModifiedBy>PC</cp:lastModifiedBy>
  <cp:revision>241</cp:revision>
  <cp:lastPrinted>2016-04-29T08:54:00Z</cp:lastPrinted>
  <dcterms:created xsi:type="dcterms:W3CDTF">2015-10-29T10:57:00Z</dcterms:created>
  <dcterms:modified xsi:type="dcterms:W3CDTF">2016-04-29T14:47:00Z</dcterms:modified>
</cp:coreProperties>
</file>