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DA" w:rsidRPr="00A70AF9" w:rsidRDefault="006D1CDA" w:rsidP="00A70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A70AF9">
        <w:rPr>
          <w:rFonts w:ascii="Times New Roman" w:hAnsi="Times New Roman"/>
          <w:b/>
          <w:sz w:val="28"/>
          <w:szCs w:val="28"/>
          <w:lang w:val="uk-UA" w:eastAsia="en-US"/>
        </w:rPr>
        <w:t>МІНІСТЕРСТВО ОХОРОНИ ЗДОРОВ’Я УКРАЇНИ</w:t>
      </w:r>
    </w:p>
    <w:p w:rsidR="006D1CDA" w:rsidRPr="00A70AF9" w:rsidRDefault="006D1CDA" w:rsidP="00A70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6D1CDA" w:rsidRPr="00A70AF9" w:rsidRDefault="006D1CDA" w:rsidP="00A70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A70AF9">
        <w:rPr>
          <w:rFonts w:ascii="Times New Roman" w:hAnsi="Times New Roman"/>
          <w:b/>
          <w:sz w:val="28"/>
          <w:szCs w:val="28"/>
          <w:lang w:val="uk-UA" w:eastAsia="en-US"/>
        </w:rPr>
        <w:t>УКРАЇНСЬКИЙ ЦЕНТР НАУКОВОЇ МЕДИЧНОЇ ІНФОРМАЦІЇ</w:t>
      </w: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 w:eastAsia="en-US"/>
        </w:rPr>
        <w:t>ТА ПАТЕНТНО-ЛІЦЕНЗІЙНОЇ РОБОТИ</w:t>
      </w: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F46C10" w:rsidP="00F46C1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/>
        </w:rPr>
        <w:t xml:space="preserve">МЕТОДИКА ОЦІНКИ РІВНЯ СОЦІАЛЬНОЇ ВІДПОВІДАЛЬНОСТІ </w:t>
      </w:r>
    </w:p>
    <w:p w:rsidR="006D1CDA" w:rsidRPr="00F46C10" w:rsidRDefault="00F46C10" w:rsidP="00F46C10">
      <w:pPr>
        <w:pStyle w:val="af1"/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/>
        </w:rPr>
        <w:t>ФАРМАЦЕВТИЧНИХ ПІДПРИЄМСТВ</w:t>
      </w:r>
    </w:p>
    <w:p w:rsidR="006D1CDA" w:rsidRPr="00A70AF9" w:rsidRDefault="006D1CDA" w:rsidP="00A70AF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/>
        </w:rPr>
        <w:t>(методичні рекомендації)</w:t>
      </w:r>
    </w:p>
    <w:p w:rsidR="006D1CDA" w:rsidRPr="00A70AF9" w:rsidRDefault="006D1CDA" w:rsidP="00A70AF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b/>
          <w:color w:val="FFFFFF"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color w:val="FFFFFF"/>
          <w:sz w:val="28"/>
          <w:szCs w:val="28"/>
          <w:lang w:val="uk-UA"/>
        </w:rPr>
        <w:t>(84.15/123.15)</w:t>
      </w:r>
    </w:p>
    <w:p w:rsidR="006D1CDA" w:rsidRPr="00A70AF9" w:rsidRDefault="006D1CDA" w:rsidP="00A70AF9">
      <w:pPr>
        <w:pStyle w:val="af1"/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bCs/>
          <w:sz w:val="28"/>
          <w:szCs w:val="28"/>
          <w:lang w:val="uk-UA"/>
        </w:rPr>
        <w:t>Київ – 2016</w:t>
      </w:r>
    </w:p>
    <w:p w:rsidR="006D1CDA" w:rsidRDefault="006D1CDA" w:rsidP="00A70AF9">
      <w:pPr>
        <w:pStyle w:val="af1"/>
        <w:widowControl w:val="0"/>
        <w:jc w:val="center"/>
        <w:rPr>
          <w:b/>
          <w:bCs/>
          <w:lang w:val="uk-UA"/>
        </w:rPr>
      </w:pPr>
    </w:p>
    <w:p w:rsidR="006D1CDA" w:rsidRPr="00A70AF9" w:rsidRDefault="00493C69" w:rsidP="00100404">
      <w:pPr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493C69">
        <w:rPr>
          <w:noProof/>
        </w:rPr>
        <w:pict>
          <v:rect id="_x0000_s1026" style="position:absolute;left:0;text-align:left;margin-left:223.05pt;margin-top:29.45pt;width:42pt;height:31.5pt;z-index:251658240" stroked="f"/>
        </w:pict>
      </w:r>
      <w:r w:rsidR="006D1CDA" w:rsidRPr="008C0C5A">
        <w:rPr>
          <w:rFonts w:ascii="Times New Roman" w:hAnsi="Times New Roman"/>
          <w:sz w:val="28"/>
          <w:szCs w:val="28"/>
          <w:lang w:val="uk-UA"/>
        </w:rPr>
        <w:br w:type="page"/>
      </w:r>
      <w:r w:rsidR="006D1CDA" w:rsidRPr="00A70AF9">
        <w:rPr>
          <w:rFonts w:ascii="Times New Roman" w:hAnsi="Times New Roman"/>
          <w:b/>
          <w:sz w:val="28"/>
          <w:szCs w:val="28"/>
          <w:lang w:val="uk-UA" w:eastAsia="en-US"/>
        </w:rPr>
        <w:lastRenderedPageBreak/>
        <w:t>МІНІСТЕРСТВО ОХОРОНИ ЗДОРОВ’Я УКРАЇНИ</w:t>
      </w:r>
    </w:p>
    <w:p w:rsidR="006D1CDA" w:rsidRPr="00A70AF9" w:rsidRDefault="006D1CDA" w:rsidP="00A70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6D1CDA" w:rsidRPr="00A70AF9" w:rsidRDefault="006D1CDA" w:rsidP="00A70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A70AF9">
        <w:rPr>
          <w:rFonts w:ascii="Times New Roman" w:hAnsi="Times New Roman"/>
          <w:b/>
          <w:sz w:val="28"/>
          <w:szCs w:val="28"/>
          <w:lang w:val="uk-UA" w:eastAsia="en-US"/>
        </w:rPr>
        <w:t>УКРАЇНСЬКИЙ ЦЕНТР НАУКОВОЇ МЕДИЧНОЇ ІНФОРМАЦІЇ</w:t>
      </w:r>
    </w:p>
    <w:p w:rsidR="006D1CDA" w:rsidRPr="00A70AF9" w:rsidRDefault="006D1CDA" w:rsidP="00A70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A70AF9">
        <w:rPr>
          <w:rFonts w:ascii="Times New Roman" w:hAnsi="Times New Roman"/>
          <w:b/>
          <w:sz w:val="28"/>
          <w:szCs w:val="28"/>
          <w:lang w:val="uk-UA" w:eastAsia="en-US"/>
        </w:rPr>
        <w:t>ТА ПАТЕНТНО-ЛІЦЕНЗІЙНОЇ РОБОТИ</w:t>
      </w:r>
    </w:p>
    <w:p w:rsidR="006D1CDA" w:rsidRPr="00A70AF9" w:rsidRDefault="006D1CDA" w:rsidP="00A70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</w:p>
    <w:p w:rsidR="006D1CDA" w:rsidRPr="00A70AF9" w:rsidRDefault="006D1CDA" w:rsidP="00A70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5070" w:type="dxa"/>
        <w:tblLook w:val="00A0"/>
      </w:tblPr>
      <w:tblGrid>
        <w:gridCol w:w="4500"/>
      </w:tblGrid>
      <w:tr w:rsidR="006D1CDA" w:rsidRPr="00A70AF9" w:rsidTr="00A548E0">
        <w:tc>
          <w:tcPr>
            <w:tcW w:w="4501" w:type="dxa"/>
          </w:tcPr>
          <w:p w:rsidR="006D1CDA" w:rsidRPr="00A70AF9" w:rsidRDefault="006D1CDA" w:rsidP="00A70AF9">
            <w:pPr>
              <w:pStyle w:val="af1"/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70A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«УЗГОДЖЕНО»</w:t>
            </w:r>
          </w:p>
          <w:p w:rsidR="006D1CDA" w:rsidRPr="00A70AF9" w:rsidRDefault="006D1CDA" w:rsidP="00A70AF9">
            <w:pPr>
              <w:pStyle w:val="af1"/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D1CDA" w:rsidRPr="00A70AF9" w:rsidRDefault="006D1CDA" w:rsidP="00A70AF9">
            <w:pPr>
              <w:pStyle w:val="af1"/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</w:t>
            </w:r>
            <w:r w:rsidRPr="00A70A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ачальник Управління </w:t>
            </w:r>
          </w:p>
          <w:p w:rsidR="006D1CDA" w:rsidRPr="00A70AF9" w:rsidRDefault="006D1CDA" w:rsidP="00A70AF9">
            <w:pPr>
              <w:pStyle w:val="af1"/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</w:t>
            </w:r>
            <w:r w:rsidRPr="00A70A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армацевтичної діяльності </w:t>
            </w:r>
            <w:r w:rsidRPr="00A70A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br/>
              <w:t>та якості фармацевтичної продукції МОЗ України</w:t>
            </w:r>
          </w:p>
          <w:p w:rsidR="006D1CDA" w:rsidRPr="00A70AF9" w:rsidRDefault="006D1CDA" w:rsidP="00A70AF9">
            <w:pPr>
              <w:pStyle w:val="af1"/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6D1CDA" w:rsidRPr="00A70AF9" w:rsidRDefault="006D1CDA" w:rsidP="00A70AF9">
            <w:pPr>
              <w:pStyle w:val="af1"/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70A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____________ Лясковський Т.М.</w:t>
            </w:r>
          </w:p>
          <w:p w:rsidR="006D1CDA" w:rsidRPr="00A70AF9" w:rsidRDefault="006D1CDA" w:rsidP="00A70AF9">
            <w:pPr>
              <w:pStyle w:val="af1"/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70A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_____________________ 2016 р.</w:t>
            </w:r>
          </w:p>
          <w:p w:rsidR="006D1CDA" w:rsidRPr="00A70AF9" w:rsidRDefault="006D1CDA" w:rsidP="00A70AF9">
            <w:pPr>
              <w:pStyle w:val="af1"/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/>
        </w:rPr>
        <w:t xml:space="preserve">МЕТОДИКА ОЦІНКИ РІВНЯ СОЦІАЛЬНОЇ ВІДПОВІДАЛЬНОСТІ </w:t>
      </w: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/>
        </w:rPr>
        <w:t>ФАРМАЦЕВТИЧНИХ ПІДПРИЄМСТВ</w:t>
      </w: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D1CDA" w:rsidRPr="00A70AF9" w:rsidRDefault="006D1CDA" w:rsidP="00A70AF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/>
        </w:rPr>
        <w:t>(методичні рекомендації)</w:t>
      </w: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b/>
          <w:color w:val="FFFFFF"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color w:val="FFFFFF"/>
          <w:sz w:val="28"/>
          <w:szCs w:val="28"/>
          <w:lang w:val="uk-UA"/>
        </w:rPr>
        <w:t>84.15/123.15)</w:t>
      </w:r>
    </w:p>
    <w:p w:rsidR="006D1CDA" w:rsidRPr="00A70AF9" w:rsidRDefault="006D1CDA" w:rsidP="00A70AF9">
      <w:pPr>
        <w:pStyle w:val="af1"/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 w:eastAsia="en-US"/>
        </w:rPr>
        <w:t>Київ  2016</w:t>
      </w:r>
    </w:p>
    <w:p w:rsidR="006D1CDA" w:rsidRPr="008C0C5A" w:rsidRDefault="006D1CDA" w:rsidP="00815C0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493C69" w:rsidP="00A70AF9">
      <w:pPr>
        <w:pStyle w:val="af1"/>
        <w:widowControl w:val="0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93C69">
        <w:rPr>
          <w:noProof/>
        </w:rPr>
        <w:pict>
          <v:rect id="_x0000_s1027" style="position:absolute;margin-left:218.55pt;margin-top:25.95pt;width:42pt;height:31.5pt;z-index:251659264" stroked="f"/>
        </w:pict>
      </w:r>
      <w:r w:rsidR="006D1CDA" w:rsidRPr="008C0C5A">
        <w:rPr>
          <w:rFonts w:ascii="Times New Roman" w:hAnsi="Times New Roman"/>
          <w:sz w:val="28"/>
          <w:szCs w:val="28"/>
          <w:lang w:val="uk-UA"/>
        </w:rPr>
        <w:br w:type="page"/>
      </w:r>
      <w:r w:rsidR="006D1CDA" w:rsidRPr="00A70AF9">
        <w:rPr>
          <w:rFonts w:ascii="Times New Roman" w:hAnsi="Times New Roman"/>
          <w:b/>
          <w:sz w:val="28"/>
          <w:szCs w:val="28"/>
          <w:lang w:val="uk-UA"/>
        </w:rPr>
        <w:lastRenderedPageBreak/>
        <w:t>Установи-розробники:</w:t>
      </w:r>
    </w:p>
    <w:p w:rsidR="006D1CDA" w:rsidRPr="00A70AF9" w:rsidRDefault="00493C69" w:rsidP="00A70AF9">
      <w:pPr>
        <w:pStyle w:val="af1"/>
        <w:widowControl w:val="0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493C69">
        <w:rPr>
          <w:noProof/>
        </w:rPr>
        <w:pict>
          <v:rect id="Rectangle 6" o:spid="_x0000_s1028" style="position:absolute;margin-left:451pt;margin-top:-51.15pt;width:27.5pt;height:27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" stroked="f"/>
        </w:pict>
      </w:r>
      <w:r w:rsidR="006D1CDA" w:rsidRPr="00A70AF9">
        <w:rPr>
          <w:rFonts w:ascii="Times New Roman" w:hAnsi="Times New Roman"/>
          <w:sz w:val="28"/>
          <w:szCs w:val="28"/>
          <w:lang w:val="uk-UA"/>
        </w:rPr>
        <w:t>Національний фармацевтичний університет МОЗ України</w:t>
      </w:r>
    </w:p>
    <w:p w:rsidR="006D1CDA" w:rsidRPr="00A70AF9" w:rsidRDefault="00493C69" w:rsidP="00A70AF9">
      <w:pPr>
        <w:pStyle w:val="af1"/>
        <w:widowControl w:val="0"/>
        <w:spacing w:line="360" w:lineRule="auto"/>
        <w:ind w:left="709" w:firstLine="709"/>
        <w:rPr>
          <w:rFonts w:ascii="Times New Roman" w:hAnsi="Times New Roman"/>
          <w:sz w:val="28"/>
          <w:szCs w:val="28"/>
          <w:lang w:val="uk-UA"/>
        </w:rPr>
      </w:pPr>
      <w:r w:rsidRPr="00493C69">
        <w:rPr>
          <w:noProof/>
        </w:rPr>
        <w:pict>
          <v:rect id="Rectangle 9" o:spid="_x0000_s1029" style="position:absolute;left:0;text-align:left;margin-left:456.5pt;margin-top:-51.15pt;width:27.5pt;height:2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" stroked="f"/>
        </w:pict>
      </w:r>
    </w:p>
    <w:p w:rsidR="006D1CDA" w:rsidRPr="00A70AF9" w:rsidRDefault="006D1CDA" w:rsidP="00A70AF9">
      <w:pPr>
        <w:pStyle w:val="af1"/>
        <w:widowControl w:val="0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/>
        </w:rPr>
        <w:t xml:space="preserve">Укладачі: </w:t>
      </w:r>
    </w:p>
    <w:tbl>
      <w:tblPr>
        <w:tblW w:w="0" w:type="auto"/>
        <w:tblLook w:val="00A0"/>
      </w:tblPr>
      <w:tblGrid>
        <w:gridCol w:w="4363"/>
        <w:gridCol w:w="2768"/>
        <w:gridCol w:w="2439"/>
      </w:tblGrid>
      <w:tr w:rsidR="006D1CDA" w:rsidRPr="00A70AF9" w:rsidTr="008614DA">
        <w:trPr>
          <w:trHeight w:val="489"/>
        </w:trPr>
        <w:tc>
          <w:tcPr>
            <w:tcW w:w="4363" w:type="dxa"/>
          </w:tcPr>
          <w:p w:rsidR="006D1CDA" w:rsidRPr="00A70AF9" w:rsidRDefault="006D1CDA" w:rsidP="008614DA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0C5A">
              <w:rPr>
                <w:rFonts w:ascii="Times New Roman" w:hAnsi="Times New Roman"/>
                <w:sz w:val="28"/>
                <w:szCs w:val="28"/>
                <w:lang w:val="uk-UA"/>
              </w:rPr>
              <w:t>Братішко Ю</w:t>
            </w:r>
            <w:r w:rsidR="008614D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</w:t>
            </w:r>
            <w:r w:rsidR="008614D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68" w:type="dxa"/>
          </w:tcPr>
          <w:p w:rsidR="006D1CDA" w:rsidRPr="00A70AF9" w:rsidRDefault="006D1CDA" w:rsidP="00A548E0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>к. фарм. н., доцент</w:t>
            </w:r>
          </w:p>
        </w:tc>
        <w:tc>
          <w:tcPr>
            <w:tcW w:w="2439" w:type="dxa"/>
          </w:tcPr>
          <w:p w:rsidR="006D1CDA" w:rsidRPr="00A70AF9" w:rsidRDefault="006D1CDA" w:rsidP="00A548E0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(057)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771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>1-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</w:p>
        </w:tc>
      </w:tr>
      <w:tr w:rsidR="006D1CDA" w:rsidRPr="00A70AF9" w:rsidTr="008614DA">
        <w:tc>
          <w:tcPr>
            <w:tcW w:w="4363" w:type="dxa"/>
          </w:tcPr>
          <w:p w:rsidR="006D1CDA" w:rsidRPr="00A70AF9" w:rsidRDefault="006D1CDA" w:rsidP="00A548E0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CDA" w:rsidRPr="00A70AF9" w:rsidRDefault="006D1CDA" w:rsidP="008614DA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0C5A">
              <w:rPr>
                <w:rFonts w:ascii="Times New Roman" w:hAnsi="Times New Roman"/>
                <w:sz w:val="28"/>
                <w:szCs w:val="28"/>
                <w:lang w:val="uk-UA"/>
              </w:rPr>
              <w:t>Посилкіна О</w:t>
            </w:r>
            <w:r w:rsidR="008614D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8614D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68" w:type="dxa"/>
          </w:tcPr>
          <w:p w:rsidR="006D1CDA" w:rsidRPr="00A70AF9" w:rsidRDefault="006D1CDA" w:rsidP="00A548E0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CDA" w:rsidRPr="00A70AF9" w:rsidRDefault="006D1CDA" w:rsidP="00A548E0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фарм. н.,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професор</w:t>
            </w:r>
          </w:p>
        </w:tc>
        <w:tc>
          <w:tcPr>
            <w:tcW w:w="2439" w:type="dxa"/>
          </w:tcPr>
          <w:p w:rsidR="006D1CDA" w:rsidRPr="00A70AF9" w:rsidRDefault="006D1CDA" w:rsidP="00A548E0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1CDA" w:rsidRPr="00A70AF9" w:rsidRDefault="006D1CDA" w:rsidP="00A548E0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(057)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771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>1-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</w:p>
        </w:tc>
      </w:tr>
      <w:tr w:rsidR="008614DA" w:rsidRPr="00A70AF9" w:rsidTr="008614DA">
        <w:tc>
          <w:tcPr>
            <w:tcW w:w="4363" w:type="dxa"/>
          </w:tcPr>
          <w:p w:rsidR="008614DA" w:rsidRPr="00A70AF9" w:rsidRDefault="008614DA" w:rsidP="008614DA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14DA" w:rsidRPr="00A70AF9" w:rsidRDefault="008614DA" w:rsidP="008614DA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Новгородська Л. М.</w:t>
            </w:r>
          </w:p>
        </w:tc>
        <w:tc>
          <w:tcPr>
            <w:tcW w:w="2768" w:type="dxa"/>
          </w:tcPr>
          <w:p w:rsidR="008614DA" w:rsidRPr="00A70AF9" w:rsidRDefault="008614DA" w:rsidP="008614DA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14DA" w:rsidRPr="00A70AF9" w:rsidRDefault="008614DA" w:rsidP="008614DA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наук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спів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39" w:type="dxa"/>
          </w:tcPr>
          <w:p w:rsidR="008614DA" w:rsidRPr="00A70AF9" w:rsidRDefault="008614DA" w:rsidP="008614DA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614DA" w:rsidRPr="00A70AF9" w:rsidRDefault="008614DA" w:rsidP="008614DA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>(0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44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428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</w:tr>
    </w:tbl>
    <w:p w:rsidR="006D1CDA" w:rsidRPr="00A70AF9" w:rsidRDefault="006D1CDA" w:rsidP="00A70AF9">
      <w:pPr>
        <w:pStyle w:val="af1"/>
        <w:widowControl w:val="0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Default="006D1CDA" w:rsidP="00A70AF9">
      <w:pPr>
        <w:pStyle w:val="af1"/>
        <w:widowControl w:val="0"/>
        <w:spacing w:line="360" w:lineRule="auto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A70AF9">
        <w:rPr>
          <w:rFonts w:ascii="Times New Roman" w:hAnsi="Times New Roman"/>
          <w:b/>
          <w:sz w:val="28"/>
          <w:szCs w:val="28"/>
          <w:lang w:val="uk-UA"/>
        </w:rPr>
        <w:t>Рецензенти</w:t>
      </w:r>
      <w:r w:rsidRPr="00A70AF9">
        <w:rPr>
          <w:rFonts w:ascii="Times New Roman" w:hAnsi="Times New Roman"/>
          <w:b/>
          <w:caps/>
          <w:sz w:val="28"/>
          <w:szCs w:val="28"/>
          <w:lang w:val="uk-UA"/>
        </w:rPr>
        <w:t>:</w:t>
      </w:r>
    </w:p>
    <w:tbl>
      <w:tblPr>
        <w:tblW w:w="0" w:type="auto"/>
        <w:tblLook w:val="00A0"/>
      </w:tblPr>
      <w:tblGrid>
        <w:gridCol w:w="4376"/>
        <w:gridCol w:w="2773"/>
        <w:gridCol w:w="2421"/>
      </w:tblGrid>
      <w:tr w:rsidR="006D1CDA" w:rsidRPr="00A70AF9" w:rsidTr="00100404">
        <w:trPr>
          <w:trHeight w:val="489"/>
        </w:trPr>
        <w:tc>
          <w:tcPr>
            <w:tcW w:w="4376" w:type="dxa"/>
          </w:tcPr>
          <w:p w:rsidR="006D1CDA" w:rsidRPr="00A70AF9" w:rsidRDefault="006D1CDA" w:rsidP="00B8268D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0C5A">
              <w:rPr>
                <w:rFonts w:ascii="Times New Roman" w:hAnsi="Times New Roman"/>
                <w:sz w:val="28"/>
                <w:szCs w:val="28"/>
                <w:lang w:val="uk-UA"/>
              </w:rPr>
              <w:t>Мнушко З. М.</w:t>
            </w:r>
          </w:p>
        </w:tc>
        <w:tc>
          <w:tcPr>
            <w:tcW w:w="2773" w:type="dxa"/>
          </w:tcPr>
          <w:p w:rsidR="006D1CDA" w:rsidRPr="00A70AF9" w:rsidRDefault="006D1CDA" w:rsidP="00B8268D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A70A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фарм. н.,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професор</w:t>
            </w:r>
          </w:p>
        </w:tc>
        <w:tc>
          <w:tcPr>
            <w:tcW w:w="2421" w:type="dxa"/>
          </w:tcPr>
          <w:p w:rsidR="006D1CDA" w:rsidRPr="00A70AF9" w:rsidRDefault="006D1CDA" w:rsidP="00B8268D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D1CDA" w:rsidRDefault="006D1CDA" w:rsidP="00A548E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CDA" w:rsidRPr="008C0C5A" w:rsidRDefault="006D1CDA" w:rsidP="00A548E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CDA" w:rsidRPr="00A70AF9" w:rsidRDefault="006D1CDA" w:rsidP="00A70AF9">
      <w:pPr>
        <w:pStyle w:val="af1"/>
        <w:widowControl w:val="0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8614DA" w:rsidRDefault="006D1CDA" w:rsidP="00A70AF9">
      <w:pPr>
        <w:pStyle w:val="af1"/>
        <w:widowControl w:val="0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8614DA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="008614DA" w:rsidRPr="008614DA">
        <w:rPr>
          <w:rFonts w:ascii="Times New Roman" w:hAnsi="Times New Roman"/>
          <w:sz w:val="28"/>
          <w:szCs w:val="28"/>
          <w:lang w:val="uk-UA"/>
        </w:rPr>
        <w:t>Експертної п</w:t>
      </w:r>
      <w:r w:rsidRPr="008614DA">
        <w:rPr>
          <w:rFonts w:ascii="Times New Roman" w:hAnsi="Times New Roman"/>
          <w:sz w:val="28"/>
          <w:szCs w:val="28"/>
          <w:lang w:val="uk-UA"/>
        </w:rPr>
        <w:t>роблемної комісії «Фармація» МОЗ та НАМН України</w:t>
      </w:r>
      <w:r w:rsidR="008614DA" w:rsidRPr="008614DA">
        <w:rPr>
          <w:rFonts w:ascii="Times New Roman" w:hAnsi="Times New Roman"/>
          <w:sz w:val="28"/>
          <w:szCs w:val="28"/>
          <w:lang w:val="uk-UA"/>
        </w:rPr>
        <w:t>, а</w:t>
      </w:r>
      <w:r w:rsidRPr="008614DA">
        <w:rPr>
          <w:rFonts w:ascii="Times New Roman" w:hAnsi="Times New Roman"/>
          <w:sz w:val="28"/>
          <w:szCs w:val="28"/>
          <w:lang w:val="uk-UA"/>
        </w:rPr>
        <w:t>кадемік НАН України, д.фарм. н., д.х.н., професор Черних В. П.</w:t>
      </w:r>
    </w:p>
    <w:p w:rsidR="006D1CDA" w:rsidRPr="008C0C5A" w:rsidRDefault="00493C69">
      <w:pPr>
        <w:rPr>
          <w:rFonts w:ascii="Times New Roman" w:hAnsi="Times New Roman"/>
          <w:sz w:val="28"/>
          <w:szCs w:val="28"/>
          <w:lang w:val="uk-UA"/>
        </w:rPr>
      </w:pPr>
      <w:r w:rsidRPr="00493C69">
        <w:rPr>
          <w:rFonts w:ascii="Times New Roman" w:hAnsi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19.45pt;margin-top:216.25pt;width:32.25pt;height:24pt;z-index:251660288" stroked="f">
            <v:textbox>
              <w:txbxContent>
                <w:p w:rsidR="008614DA" w:rsidRPr="00CD0445" w:rsidRDefault="008614DA" w:rsidP="00CD0445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D044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6D1CDA" w:rsidRPr="008C0C5A" w:rsidRDefault="006D1CDA" w:rsidP="00892896">
      <w:pPr>
        <w:spacing w:line="360" w:lineRule="auto"/>
        <w:jc w:val="center"/>
        <w:rPr>
          <w:sz w:val="28"/>
          <w:szCs w:val="28"/>
          <w:lang w:val="uk-UA"/>
        </w:rPr>
        <w:sectPr w:rsidR="006D1CDA" w:rsidRPr="008C0C5A" w:rsidSect="002E43A0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D1CDA" w:rsidRPr="00760725" w:rsidRDefault="006D1CDA" w:rsidP="00A548E0">
      <w:pPr>
        <w:widowControl w:val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E2574D">
        <w:rPr>
          <w:rFonts w:ascii="Times New Roman" w:hAnsi="Times New Roman"/>
          <w:b/>
          <w:sz w:val="28"/>
          <w:szCs w:val="28"/>
          <w:lang w:val="uk-UA" w:eastAsia="en-US"/>
        </w:rPr>
        <w:lastRenderedPageBreak/>
        <w:t>ЗМІСТ</w:t>
      </w:r>
    </w:p>
    <w:p w:rsidR="006D1CDA" w:rsidRPr="00760725" w:rsidRDefault="006D1CDA" w:rsidP="00A548E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</w:p>
    <w:tbl>
      <w:tblPr>
        <w:tblW w:w="9965" w:type="dxa"/>
        <w:tblLayout w:type="fixed"/>
        <w:tblLook w:val="01E0"/>
      </w:tblPr>
      <w:tblGrid>
        <w:gridCol w:w="534"/>
        <w:gridCol w:w="8555"/>
        <w:gridCol w:w="876"/>
      </w:tblGrid>
      <w:tr w:rsidR="006D1CDA" w:rsidRPr="00760725" w:rsidTr="00A548E0">
        <w:tc>
          <w:tcPr>
            <w:tcW w:w="9089" w:type="dxa"/>
            <w:gridSpan w:val="2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76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6072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Стор.</w:t>
            </w:r>
          </w:p>
        </w:tc>
      </w:tr>
      <w:tr w:rsidR="006D1CDA" w:rsidRPr="00760725" w:rsidTr="00A548E0">
        <w:tc>
          <w:tcPr>
            <w:tcW w:w="534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555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6072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Перелік умовних скорочень……………………………….……………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..</w:t>
            </w:r>
          </w:p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76" w:type="dxa"/>
          </w:tcPr>
          <w:p w:rsidR="006D1CDA" w:rsidRPr="00760725" w:rsidRDefault="0015412C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</w:t>
            </w:r>
          </w:p>
        </w:tc>
      </w:tr>
      <w:tr w:rsidR="006D1CDA" w:rsidRPr="00760725" w:rsidTr="00A548E0">
        <w:tc>
          <w:tcPr>
            <w:tcW w:w="534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555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6072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Вступ………………………………………………………………………</w:t>
            </w:r>
          </w:p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76" w:type="dxa"/>
          </w:tcPr>
          <w:p w:rsidR="006D1CDA" w:rsidRPr="00760725" w:rsidRDefault="0015412C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5</w:t>
            </w:r>
          </w:p>
        </w:tc>
      </w:tr>
      <w:tr w:rsidR="006D1CDA" w:rsidRPr="00760725" w:rsidTr="00A548E0">
        <w:tc>
          <w:tcPr>
            <w:tcW w:w="534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spacing w:val="-1"/>
                <w:sz w:val="28"/>
                <w:szCs w:val="28"/>
                <w:lang w:val="uk-UA" w:eastAsia="en-US"/>
              </w:rPr>
            </w:pPr>
            <w:r w:rsidRPr="00760725">
              <w:rPr>
                <w:rFonts w:ascii="Times New Roman" w:hAnsi="Times New Roman"/>
                <w:b/>
                <w:spacing w:val="-1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8555" w:type="dxa"/>
          </w:tcPr>
          <w:p w:rsidR="006D1CDA" w:rsidRPr="00424222" w:rsidRDefault="006D1CDA" w:rsidP="009E3B0A">
            <w:pPr>
              <w:spacing w:after="0" w:line="360" w:lineRule="auto"/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</w:pPr>
            <w:r w:rsidRPr="00A52795">
              <w:rPr>
                <w:rFonts w:ascii="Times New Roman" w:hAnsi="Times New Roman"/>
                <w:sz w:val="28"/>
                <w:szCs w:val="28"/>
                <w:lang w:val="uk-UA"/>
              </w:rPr>
              <w:t>Аналіз сучасних тенденцій в управлінні соціальною відповідальні</w:t>
            </w:r>
            <w:r w:rsidRPr="00A52795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A52795">
              <w:rPr>
                <w:rFonts w:ascii="Times New Roman" w:hAnsi="Times New Roman"/>
                <w:sz w:val="28"/>
                <w:szCs w:val="28"/>
                <w:lang w:val="uk-UA"/>
              </w:rPr>
              <w:t>тю фармацевтичних компаній</w:t>
            </w:r>
            <w:r w:rsidRPr="00424222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....................................................................</w:t>
            </w:r>
          </w:p>
          <w:p w:rsidR="006D1CDA" w:rsidRPr="00424222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76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  <w:p w:rsidR="006D1CDA" w:rsidRPr="00760725" w:rsidRDefault="0015412C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7</w:t>
            </w:r>
          </w:p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6D1CDA" w:rsidRPr="00760725" w:rsidTr="00A548E0">
        <w:tc>
          <w:tcPr>
            <w:tcW w:w="534" w:type="dxa"/>
          </w:tcPr>
          <w:p w:rsidR="006D1CDA" w:rsidRPr="00760725" w:rsidRDefault="006D1CDA" w:rsidP="009E3B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spacing w:val="-1"/>
                <w:sz w:val="28"/>
                <w:szCs w:val="28"/>
                <w:lang w:val="uk-UA" w:eastAsia="en-US"/>
              </w:rPr>
            </w:pPr>
            <w:r w:rsidRPr="00760725">
              <w:rPr>
                <w:rFonts w:ascii="Times New Roman" w:hAnsi="Times New Roman"/>
                <w:b/>
                <w:spacing w:val="-1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8555" w:type="dxa"/>
          </w:tcPr>
          <w:p w:rsidR="006D1CDA" w:rsidRPr="00760725" w:rsidRDefault="006D1CDA" w:rsidP="0015412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52795">
              <w:rPr>
                <w:rFonts w:ascii="Times New Roman" w:hAnsi="Times New Roman"/>
                <w:sz w:val="28"/>
                <w:szCs w:val="28"/>
                <w:lang w:val="uk-UA"/>
              </w:rPr>
              <w:t>Методи</w:t>
            </w:r>
            <w:r w:rsidR="001541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чні підходи до </w:t>
            </w:r>
            <w:r w:rsidRPr="00A52795">
              <w:rPr>
                <w:rFonts w:ascii="Times New Roman" w:hAnsi="Times New Roman"/>
                <w:sz w:val="28"/>
                <w:szCs w:val="28"/>
                <w:lang w:val="uk-UA"/>
              </w:rPr>
              <w:t>оцінки рівня соціальної відповідальності фа</w:t>
            </w:r>
            <w:r w:rsidRPr="00A52795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Pr="00A52795">
              <w:rPr>
                <w:rFonts w:ascii="Times New Roman" w:hAnsi="Times New Roman"/>
                <w:sz w:val="28"/>
                <w:szCs w:val="28"/>
                <w:lang w:val="uk-UA"/>
              </w:rPr>
              <w:t>мацевтичн</w:t>
            </w:r>
            <w:r w:rsidR="0015412C">
              <w:rPr>
                <w:rFonts w:ascii="Times New Roman" w:hAnsi="Times New Roman"/>
                <w:sz w:val="28"/>
                <w:szCs w:val="28"/>
                <w:lang w:val="uk-UA"/>
              </w:rPr>
              <w:t>их підприємств…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……………………</w:t>
            </w:r>
            <w:r w:rsidR="0015412C"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...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val="uk-UA" w:eastAsia="en-US"/>
              </w:rPr>
              <w:t>……………………...</w:t>
            </w:r>
          </w:p>
        </w:tc>
        <w:tc>
          <w:tcPr>
            <w:tcW w:w="876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  <w:p w:rsidR="006D1CDA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  <w:r w:rsidR="001541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5</w:t>
            </w:r>
          </w:p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6D1CDA" w:rsidRPr="00760725" w:rsidTr="00A548E0">
        <w:tc>
          <w:tcPr>
            <w:tcW w:w="534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555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6072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Висновки…………………………………………………………………..</w:t>
            </w:r>
          </w:p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876" w:type="dxa"/>
          </w:tcPr>
          <w:p w:rsidR="006D1CDA" w:rsidRPr="00CD0445" w:rsidRDefault="006D1CDA" w:rsidP="00CD04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60725">
              <w:rPr>
                <w:rFonts w:ascii="Times New Roman" w:hAnsi="Times New Roman"/>
                <w:sz w:val="28"/>
                <w:szCs w:val="28"/>
                <w:lang w:val="uk-UA" w:eastAsia="en-US"/>
              </w:rPr>
              <w:t>2</w:t>
            </w:r>
            <w:r w:rsidR="00CD0445"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6D1CDA" w:rsidRPr="00760725" w:rsidTr="00A548E0">
        <w:tc>
          <w:tcPr>
            <w:tcW w:w="534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555" w:type="dxa"/>
          </w:tcPr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6072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Перелік рекомендованих джерел …………………..……..……………..</w:t>
            </w:r>
          </w:p>
          <w:p w:rsidR="006D1CDA" w:rsidRPr="00760725" w:rsidRDefault="006D1CDA" w:rsidP="009E3B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76" w:type="dxa"/>
          </w:tcPr>
          <w:p w:rsidR="006D1CDA" w:rsidRPr="00CD0445" w:rsidRDefault="006D1CDA" w:rsidP="00CD04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60725">
              <w:rPr>
                <w:rFonts w:ascii="Times New Roman" w:hAnsi="Times New Roman"/>
                <w:sz w:val="28"/>
                <w:szCs w:val="28"/>
                <w:lang w:val="uk-UA" w:eastAsia="en-US"/>
              </w:rPr>
              <w:t>2</w:t>
            </w:r>
            <w:r w:rsidR="00CD0445"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</w:tbl>
    <w:p w:rsidR="006D1CDA" w:rsidRDefault="00493C6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39" type="#_x0000_t202" style="position:absolute;margin-left:217.95pt;margin-top:303.9pt;width:32.25pt;height:24pt;z-index:251661312;mso-position-horizontal-relative:text;mso-position-vertical-relative:text" stroked="f">
            <v:textbox>
              <w:txbxContent>
                <w:p w:rsidR="008614DA" w:rsidRPr="00CD0445" w:rsidRDefault="008614DA" w:rsidP="00CD0445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6D1CDA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6D1CDA" w:rsidRPr="008C0C5A" w:rsidRDefault="006D1CDA" w:rsidP="00AA522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0C5A">
        <w:rPr>
          <w:rFonts w:ascii="Times New Roman" w:hAnsi="Times New Roman"/>
          <w:b/>
          <w:sz w:val="28"/>
          <w:szCs w:val="28"/>
          <w:lang w:val="uk-UA"/>
        </w:rPr>
        <w:lastRenderedPageBreak/>
        <w:t>ПЕРЕЛІК УМОВНИХ СКОРОЧЕНЬ</w:t>
      </w:r>
    </w:p>
    <w:p w:rsidR="006D1CDA" w:rsidRPr="008C0C5A" w:rsidRDefault="006D1CDA" w:rsidP="00AA522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Default="006D1CDA" w:rsidP="00AA522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D1D16">
        <w:rPr>
          <w:rFonts w:ascii="Times New Roman" w:hAnsi="Times New Roman"/>
          <w:sz w:val="28"/>
          <w:szCs w:val="28"/>
          <w:lang w:val="uk-UA"/>
        </w:rPr>
        <w:t>ВВП</w:t>
      </w:r>
      <w:r w:rsidRPr="008C0C5A">
        <w:rPr>
          <w:rFonts w:ascii="Times New Roman" w:hAnsi="Times New Roman"/>
          <w:sz w:val="28"/>
          <w:szCs w:val="28"/>
          <w:lang w:val="uk-UA"/>
        </w:rPr>
        <w:tab/>
      </w:r>
      <w:r w:rsidRPr="008C0C5A">
        <w:rPr>
          <w:rFonts w:ascii="Times New Roman" w:hAnsi="Times New Roman"/>
          <w:sz w:val="28"/>
          <w:szCs w:val="28"/>
          <w:lang w:val="uk-UA"/>
        </w:rPr>
        <w:tab/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валовий внутрішній продукт</w:t>
      </w:r>
    </w:p>
    <w:p w:rsidR="006D1CDA" w:rsidRDefault="006D1CDA" w:rsidP="00AA522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C0C5A">
        <w:rPr>
          <w:rFonts w:ascii="Times New Roman" w:hAnsi="Times New Roman"/>
          <w:sz w:val="28"/>
          <w:szCs w:val="28"/>
          <w:lang w:val="uk-UA"/>
        </w:rPr>
        <w:t xml:space="preserve">ВНЗ </w:t>
      </w:r>
      <w:r w:rsidRPr="008C0C5A">
        <w:rPr>
          <w:rFonts w:ascii="Times New Roman" w:hAnsi="Times New Roman"/>
          <w:sz w:val="28"/>
          <w:szCs w:val="28"/>
          <w:lang w:val="uk-UA"/>
        </w:rPr>
        <w:tab/>
      </w:r>
      <w:r w:rsidRPr="008C0C5A">
        <w:rPr>
          <w:rFonts w:ascii="Times New Roman" w:hAnsi="Times New Roman"/>
          <w:sz w:val="28"/>
          <w:szCs w:val="28"/>
          <w:lang w:val="uk-UA"/>
        </w:rPr>
        <w:tab/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вищий навчальний заклад</w:t>
      </w:r>
    </w:p>
    <w:p w:rsidR="006D1CDA" w:rsidRPr="008C0C5A" w:rsidRDefault="006D1CDA" w:rsidP="00AA522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C0C5A">
        <w:rPr>
          <w:rFonts w:ascii="Times New Roman" w:hAnsi="Times New Roman"/>
          <w:sz w:val="28"/>
          <w:szCs w:val="28"/>
          <w:lang w:val="uk-UA"/>
        </w:rPr>
        <w:t xml:space="preserve">ЛЗ </w:t>
      </w:r>
      <w:r w:rsidRPr="008C0C5A">
        <w:rPr>
          <w:rFonts w:ascii="Times New Roman" w:hAnsi="Times New Roman"/>
          <w:sz w:val="28"/>
          <w:szCs w:val="28"/>
          <w:lang w:val="uk-UA"/>
        </w:rPr>
        <w:tab/>
      </w:r>
      <w:r w:rsidRPr="008C0C5A">
        <w:rPr>
          <w:rFonts w:ascii="Times New Roman" w:hAnsi="Times New Roman"/>
          <w:sz w:val="28"/>
          <w:szCs w:val="28"/>
          <w:lang w:val="uk-UA"/>
        </w:rPr>
        <w:tab/>
        <w:t xml:space="preserve">– лікарський засіб </w:t>
      </w:r>
    </w:p>
    <w:p w:rsidR="006D1CDA" w:rsidRPr="008C0C5A" w:rsidRDefault="006D1CDA" w:rsidP="00AA522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C0C5A">
        <w:rPr>
          <w:rFonts w:ascii="Times New Roman" w:hAnsi="Times New Roman"/>
          <w:sz w:val="28"/>
          <w:szCs w:val="28"/>
          <w:lang w:val="uk-UA"/>
        </w:rPr>
        <w:t xml:space="preserve">НФаУ </w:t>
      </w:r>
      <w:r w:rsidRPr="008C0C5A">
        <w:rPr>
          <w:rFonts w:ascii="Times New Roman" w:hAnsi="Times New Roman"/>
          <w:sz w:val="28"/>
          <w:szCs w:val="28"/>
          <w:lang w:val="uk-UA"/>
        </w:rPr>
        <w:tab/>
        <w:t>– Національний фармацевтичний університет</w:t>
      </w:r>
    </w:p>
    <w:p w:rsidR="006D1CDA" w:rsidRPr="008C0C5A" w:rsidRDefault="006D1CDA" w:rsidP="00AA522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C0C5A">
        <w:rPr>
          <w:rFonts w:ascii="Times New Roman" w:hAnsi="Times New Roman"/>
          <w:sz w:val="28"/>
          <w:szCs w:val="28"/>
          <w:lang w:val="uk-UA"/>
        </w:rPr>
        <w:t>СВФБ</w:t>
      </w:r>
      <w:r w:rsidRPr="008C0C5A">
        <w:rPr>
          <w:rFonts w:ascii="Times New Roman" w:hAnsi="Times New Roman"/>
          <w:sz w:val="28"/>
          <w:szCs w:val="28"/>
          <w:lang w:val="uk-UA"/>
        </w:rPr>
        <w:tab/>
        <w:t>– соціальна відповідальність фармацевтичного бізнесу</w:t>
      </w:r>
    </w:p>
    <w:p w:rsidR="006D1CDA" w:rsidRDefault="006D1CDA" w:rsidP="00AA5223">
      <w:pPr>
        <w:spacing w:after="0" w:line="360" w:lineRule="auto"/>
        <w:rPr>
          <w:rFonts w:ascii="Times New Roman" w:hAnsi="Times New Roman"/>
          <w:sz w:val="28"/>
          <w:szCs w:val="15"/>
          <w:lang w:val="uk-UA"/>
        </w:rPr>
      </w:pPr>
      <w:r>
        <w:rPr>
          <w:rFonts w:ascii="Times New Roman" w:hAnsi="Times New Roman"/>
          <w:sz w:val="28"/>
          <w:szCs w:val="15"/>
          <w:lang w:val="uk-UA"/>
        </w:rPr>
        <w:t>С</w:t>
      </w:r>
      <w:r w:rsidRPr="00984BFC">
        <w:rPr>
          <w:rFonts w:ascii="Times New Roman" w:hAnsi="Times New Roman"/>
          <w:sz w:val="28"/>
          <w:szCs w:val="15"/>
          <w:lang w:val="uk-UA"/>
        </w:rPr>
        <w:t>СЕР</w:t>
      </w:r>
      <w:r>
        <w:rPr>
          <w:rFonts w:ascii="Times New Roman" w:hAnsi="Times New Roman"/>
          <w:sz w:val="28"/>
          <w:szCs w:val="15"/>
          <w:lang w:val="uk-UA"/>
        </w:rPr>
        <w:tab/>
      </w:r>
      <w:r>
        <w:rPr>
          <w:rFonts w:ascii="Times New Roman" w:hAnsi="Times New Roman"/>
          <w:sz w:val="28"/>
          <w:szCs w:val="15"/>
          <w:lang w:val="uk-UA"/>
        </w:rPr>
        <w:tab/>
      </w:r>
      <w:r w:rsidRPr="008C0C5A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сталий </w:t>
      </w:r>
      <w:r w:rsidRPr="00984BFC">
        <w:rPr>
          <w:rFonts w:ascii="Times New Roman" w:hAnsi="Times New Roman"/>
          <w:sz w:val="28"/>
          <w:szCs w:val="15"/>
          <w:lang w:val="uk-UA"/>
        </w:rPr>
        <w:t>соціально-економічний розвиток</w:t>
      </w:r>
    </w:p>
    <w:p w:rsidR="006D1CDA" w:rsidRPr="008C0C5A" w:rsidRDefault="006D1CDA" w:rsidP="00AA522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C0C5A">
        <w:rPr>
          <w:rFonts w:ascii="Times New Roman" w:hAnsi="Times New Roman"/>
          <w:sz w:val="28"/>
          <w:szCs w:val="28"/>
          <w:lang w:val="uk-UA"/>
        </w:rPr>
        <w:t xml:space="preserve">ФП </w:t>
      </w:r>
      <w:r w:rsidRPr="008C0C5A">
        <w:rPr>
          <w:rFonts w:ascii="Times New Roman" w:hAnsi="Times New Roman"/>
          <w:sz w:val="28"/>
          <w:szCs w:val="28"/>
          <w:lang w:val="uk-UA"/>
        </w:rPr>
        <w:tab/>
      </w:r>
      <w:r w:rsidRPr="008C0C5A">
        <w:rPr>
          <w:rFonts w:ascii="Times New Roman" w:hAnsi="Times New Roman"/>
          <w:sz w:val="28"/>
          <w:szCs w:val="28"/>
          <w:lang w:val="uk-UA"/>
        </w:rPr>
        <w:tab/>
        <w:t>– фармацевтичне підприємство</w:t>
      </w:r>
    </w:p>
    <w:p w:rsidR="006D1CDA" w:rsidRPr="008C0C5A" w:rsidRDefault="006D1CDA" w:rsidP="00AA5223">
      <w:pPr>
        <w:spacing w:after="0" w:line="360" w:lineRule="auto"/>
        <w:rPr>
          <w:sz w:val="28"/>
          <w:szCs w:val="28"/>
          <w:lang w:val="uk-UA"/>
        </w:rPr>
      </w:pPr>
    </w:p>
    <w:p w:rsidR="006D1CDA" w:rsidRPr="008C0C5A" w:rsidRDefault="00493C69" w:rsidP="00AA5223">
      <w:pPr>
        <w:spacing w:after="0" w:line="360" w:lineRule="auto"/>
        <w:rPr>
          <w:sz w:val="28"/>
          <w:szCs w:val="28"/>
          <w:lang w:val="uk-UA"/>
        </w:rPr>
        <w:sectPr w:rsidR="006D1CDA" w:rsidRPr="008C0C5A" w:rsidSect="002E43A0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pgNumType w:start="4"/>
          <w:cols w:space="708"/>
          <w:docGrid w:linePitch="360"/>
        </w:sectPr>
      </w:pPr>
      <w:r>
        <w:rPr>
          <w:noProof/>
          <w:sz w:val="28"/>
          <w:szCs w:val="28"/>
        </w:rPr>
        <w:pict>
          <v:shape id="_x0000_s1040" type="#_x0000_t202" style="position:absolute;margin-left:218.7pt;margin-top:475.85pt;width:32.25pt;height:24pt;z-index:251662336" stroked="f">
            <v:textbox>
              <w:txbxContent>
                <w:p w:rsidR="008614DA" w:rsidRPr="00CD0445" w:rsidRDefault="008614DA" w:rsidP="00CD0445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xbxContent>
            </v:textbox>
          </v:shape>
        </w:pict>
      </w:r>
    </w:p>
    <w:p w:rsidR="006D1CDA" w:rsidRPr="008C0C5A" w:rsidRDefault="006D1CDA" w:rsidP="00AA522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0C5A">
        <w:rPr>
          <w:rFonts w:ascii="Times New Roman" w:hAnsi="Times New Roman"/>
          <w:b/>
          <w:sz w:val="28"/>
          <w:szCs w:val="28"/>
          <w:lang w:val="uk-UA"/>
        </w:rPr>
        <w:lastRenderedPageBreak/>
        <w:t>ВСТУП</w:t>
      </w:r>
    </w:p>
    <w:p w:rsidR="006D1CDA" w:rsidRPr="00F35BE9" w:rsidRDefault="006D1CDA" w:rsidP="00F35BE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C0C5A">
        <w:rPr>
          <w:rFonts w:ascii="Times New Roman" w:hAnsi="Times New Roman"/>
          <w:sz w:val="28"/>
          <w:szCs w:val="28"/>
          <w:lang w:val="uk-UA"/>
        </w:rPr>
        <w:t>Як показує досвід функціонування провідних фармацевтичних комп</w:t>
      </w:r>
      <w:r w:rsidRPr="008C0C5A">
        <w:rPr>
          <w:rFonts w:ascii="Times New Roman" w:hAnsi="Times New Roman"/>
          <w:sz w:val="28"/>
          <w:szCs w:val="28"/>
          <w:lang w:val="uk-UA"/>
        </w:rPr>
        <w:t>а</w:t>
      </w:r>
      <w:r w:rsidRPr="008C0C5A">
        <w:rPr>
          <w:rFonts w:ascii="Times New Roman" w:hAnsi="Times New Roman"/>
          <w:sz w:val="28"/>
          <w:szCs w:val="28"/>
          <w:lang w:val="uk-UA"/>
        </w:rPr>
        <w:t>ній світу, сьогодні</w:t>
      </w:r>
      <w:r w:rsidR="008614DA">
        <w:rPr>
          <w:rFonts w:ascii="Times New Roman" w:hAnsi="Times New Roman"/>
          <w:sz w:val="28"/>
          <w:szCs w:val="28"/>
          <w:lang w:val="uk-UA"/>
        </w:rPr>
        <w:t xml:space="preserve"> фармацевтичні підприємства (</w:t>
      </w:r>
      <w:r w:rsidRPr="008C0C5A">
        <w:rPr>
          <w:rFonts w:ascii="Times New Roman" w:hAnsi="Times New Roman"/>
          <w:sz w:val="28"/>
          <w:szCs w:val="28"/>
          <w:lang w:val="uk-UA"/>
        </w:rPr>
        <w:t>ФП</w:t>
      </w:r>
      <w:r w:rsidR="00F35BE9">
        <w:rPr>
          <w:rFonts w:ascii="Times New Roman" w:hAnsi="Times New Roman"/>
          <w:sz w:val="28"/>
          <w:szCs w:val="28"/>
          <w:lang w:val="uk-UA"/>
        </w:rPr>
        <w:t>)</w:t>
      </w:r>
      <w:r w:rsidRPr="008C0C5A">
        <w:rPr>
          <w:rFonts w:ascii="Times New Roman" w:hAnsi="Times New Roman"/>
          <w:sz w:val="28"/>
          <w:szCs w:val="28"/>
          <w:lang w:val="uk-UA"/>
        </w:rPr>
        <w:t xml:space="preserve"> повинні усвідомити власну роль в житті країни, прагнути до перетворення у високотехнологічні, екологічно небайдужі, соціально відповідальні організації, які здатні забезп</w:t>
      </w:r>
      <w:r w:rsidRPr="008C0C5A">
        <w:rPr>
          <w:rFonts w:ascii="Times New Roman" w:hAnsi="Times New Roman"/>
          <w:sz w:val="28"/>
          <w:szCs w:val="28"/>
          <w:lang w:val="uk-UA"/>
        </w:rPr>
        <w:t>е</w:t>
      </w:r>
      <w:r w:rsidRPr="008C0C5A">
        <w:rPr>
          <w:rFonts w:ascii="Times New Roman" w:hAnsi="Times New Roman"/>
          <w:sz w:val="28"/>
          <w:szCs w:val="28"/>
          <w:lang w:val="uk-UA"/>
        </w:rPr>
        <w:t xml:space="preserve">чувати населення якісними, безпечними та доступними за ціною </w:t>
      </w:r>
      <w:r>
        <w:rPr>
          <w:rFonts w:ascii="Times New Roman" w:hAnsi="Times New Roman"/>
          <w:sz w:val="28"/>
          <w:szCs w:val="28"/>
          <w:lang w:val="uk-UA"/>
        </w:rPr>
        <w:t>ЛЗ</w:t>
      </w:r>
      <w:r w:rsidRPr="008C0C5A">
        <w:rPr>
          <w:rFonts w:ascii="Times New Roman" w:hAnsi="Times New Roman"/>
          <w:sz w:val="28"/>
          <w:szCs w:val="28"/>
          <w:lang w:val="uk-UA"/>
        </w:rPr>
        <w:t>, нео</w:t>
      </w:r>
      <w:r w:rsidRPr="008C0C5A">
        <w:rPr>
          <w:rFonts w:ascii="Times New Roman" w:hAnsi="Times New Roman"/>
          <w:sz w:val="28"/>
          <w:szCs w:val="28"/>
          <w:lang w:val="uk-UA"/>
        </w:rPr>
        <w:t>б</w:t>
      </w:r>
      <w:r w:rsidRPr="008C0C5A">
        <w:rPr>
          <w:rFonts w:ascii="Times New Roman" w:hAnsi="Times New Roman"/>
          <w:sz w:val="28"/>
          <w:szCs w:val="28"/>
          <w:lang w:val="uk-UA"/>
        </w:rPr>
        <w:t xml:space="preserve">хідними для підвищення якості життя населення. Тільки за цих умов </w:t>
      </w:r>
      <w:r w:rsidRPr="00DB1029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8C0C5A">
        <w:rPr>
          <w:rFonts w:ascii="Times New Roman" w:hAnsi="Times New Roman"/>
          <w:sz w:val="28"/>
          <w:szCs w:val="28"/>
          <w:lang w:val="uk-UA"/>
        </w:rPr>
        <w:t>ФП є можливість йти шляхом сталого розвитку, враховуючи власні та суспільні потреби</w:t>
      </w:r>
      <w:r>
        <w:rPr>
          <w:rFonts w:ascii="Times New Roman" w:hAnsi="Times New Roman"/>
          <w:sz w:val="28"/>
          <w:szCs w:val="28"/>
          <w:lang w:val="uk-UA"/>
        </w:rPr>
        <w:t xml:space="preserve"> та очікування</w:t>
      </w:r>
      <w:r w:rsidRPr="008C0C5A">
        <w:rPr>
          <w:rFonts w:ascii="Times New Roman" w:hAnsi="Times New Roman"/>
          <w:sz w:val="28"/>
          <w:szCs w:val="28"/>
          <w:lang w:val="uk-UA"/>
        </w:rPr>
        <w:t>.</w:t>
      </w:r>
    </w:p>
    <w:p w:rsidR="006D1CDA" w:rsidRPr="008C0C5A" w:rsidRDefault="006D1CDA" w:rsidP="00AA52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614DA">
        <w:rPr>
          <w:rFonts w:ascii="Times New Roman" w:hAnsi="Times New Roman"/>
          <w:sz w:val="28"/>
          <w:szCs w:val="28"/>
          <w:lang w:val="uk-UA"/>
        </w:rPr>
        <w:t>Провідні за</w:t>
      </w:r>
      <w:r w:rsidR="008614DA" w:rsidRPr="008614DA">
        <w:rPr>
          <w:rFonts w:ascii="Times New Roman" w:hAnsi="Times New Roman"/>
          <w:sz w:val="28"/>
          <w:szCs w:val="28"/>
          <w:lang w:val="uk-UA"/>
        </w:rPr>
        <w:t xml:space="preserve">кордонні </w:t>
      </w:r>
      <w:r w:rsidRPr="008614DA">
        <w:rPr>
          <w:rFonts w:ascii="Times New Roman" w:hAnsi="Times New Roman"/>
          <w:sz w:val="28"/>
          <w:szCs w:val="28"/>
          <w:lang w:val="uk-UA"/>
        </w:rPr>
        <w:t>фармацевтичні</w:t>
      </w:r>
      <w:r w:rsidRPr="008C0C5A">
        <w:rPr>
          <w:rFonts w:ascii="Times New Roman" w:hAnsi="Times New Roman"/>
          <w:sz w:val="28"/>
          <w:szCs w:val="28"/>
          <w:lang w:val="uk-UA"/>
        </w:rPr>
        <w:t xml:space="preserve"> компанії значно виперед</w:t>
      </w:r>
      <w:r>
        <w:rPr>
          <w:rFonts w:ascii="Times New Roman" w:hAnsi="Times New Roman"/>
          <w:sz w:val="28"/>
          <w:szCs w:val="28"/>
          <w:lang w:val="uk-UA"/>
        </w:rPr>
        <w:t>жають</w:t>
      </w:r>
      <w:r w:rsidRPr="008C0C5A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8C0C5A">
        <w:rPr>
          <w:rFonts w:ascii="Times New Roman" w:hAnsi="Times New Roman"/>
          <w:sz w:val="28"/>
          <w:szCs w:val="28"/>
          <w:lang w:val="uk-UA"/>
        </w:rPr>
        <w:t>і</w:t>
      </w:r>
      <w:r w:rsidRPr="008C0C5A">
        <w:rPr>
          <w:rFonts w:ascii="Times New Roman" w:hAnsi="Times New Roman"/>
          <w:sz w:val="28"/>
          <w:szCs w:val="28"/>
          <w:lang w:val="uk-UA"/>
        </w:rPr>
        <w:t>тчизняні у реалізації концепції соціальної відповідальності та сталого розв</w:t>
      </w:r>
      <w:r w:rsidRPr="008C0C5A">
        <w:rPr>
          <w:rFonts w:ascii="Times New Roman" w:hAnsi="Times New Roman"/>
          <w:sz w:val="28"/>
          <w:szCs w:val="28"/>
          <w:lang w:val="uk-UA"/>
        </w:rPr>
        <w:t>и</w:t>
      </w:r>
      <w:r w:rsidRPr="008C0C5A">
        <w:rPr>
          <w:rFonts w:ascii="Times New Roman" w:hAnsi="Times New Roman"/>
          <w:sz w:val="28"/>
          <w:szCs w:val="28"/>
          <w:lang w:val="uk-UA"/>
        </w:rPr>
        <w:t xml:space="preserve">тку, соціальної політики та екологізації виробництва, визначивши ці аспекти як першочергові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C0C5A">
        <w:rPr>
          <w:rFonts w:ascii="Times New Roman" w:hAnsi="Times New Roman"/>
          <w:sz w:val="28"/>
          <w:szCs w:val="28"/>
          <w:lang w:val="uk-UA"/>
        </w:rPr>
        <w:t xml:space="preserve"> порівнянні з економічною ефективністю діяльності. Здій</w:t>
      </w:r>
      <w:r w:rsidRPr="008C0C5A">
        <w:rPr>
          <w:rFonts w:ascii="Times New Roman" w:hAnsi="Times New Roman"/>
          <w:sz w:val="28"/>
          <w:szCs w:val="28"/>
          <w:lang w:val="uk-UA"/>
        </w:rPr>
        <w:t>с</w:t>
      </w:r>
      <w:r w:rsidRPr="008C0C5A">
        <w:rPr>
          <w:rFonts w:ascii="Times New Roman" w:hAnsi="Times New Roman"/>
          <w:sz w:val="28"/>
          <w:szCs w:val="28"/>
          <w:lang w:val="uk-UA"/>
        </w:rPr>
        <w:t>нюючи інвестування в соціальний капітал та екологічну сфери, зарубіжні компанії поширюють свою діяльність на глобальному рівні. Вони використ</w:t>
      </w:r>
      <w:r w:rsidRPr="008C0C5A">
        <w:rPr>
          <w:rFonts w:ascii="Times New Roman" w:hAnsi="Times New Roman"/>
          <w:sz w:val="28"/>
          <w:szCs w:val="28"/>
          <w:lang w:val="uk-UA"/>
        </w:rPr>
        <w:t>о</w:t>
      </w:r>
      <w:r w:rsidRPr="008C0C5A">
        <w:rPr>
          <w:rFonts w:ascii="Times New Roman" w:hAnsi="Times New Roman"/>
          <w:sz w:val="28"/>
          <w:szCs w:val="28"/>
          <w:lang w:val="uk-UA"/>
        </w:rPr>
        <w:t>вують ресурсо- і енергозберігаючі технології, втілюють в життя довгострок</w:t>
      </w:r>
      <w:r w:rsidRPr="008C0C5A">
        <w:rPr>
          <w:rFonts w:ascii="Times New Roman" w:hAnsi="Times New Roman"/>
          <w:sz w:val="28"/>
          <w:szCs w:val="28"/>
          <w:lang w:val="uk-UA"/>
        </w:rPr>
        <w:t>о</w:t>
      </w:r>
      <w:r w:rsidRPr="008C0C5A">
        <w:rPr>
          <w:rFonts w:ascii="Times New Roman" w:hAnsi="Times New Roman"/>
          <w:sz w:val="28"/>
          <w:szCs w:val="28"/>
          <w:lang w:val="uk-UA"/>
        </w:rPr>
        <w:t>ві соціальні проекти, і, як результат, отримують додаткові економічні вигоди у вигляді наданих державою пільг, лояльності споживачів, встановлення па</w:t>
      </w:r>
      <w:r w:rsidRPr="008C0C5A">
        <w:rPr>
          <w:rFonts w:ascii="Times New Roman" w:hAnsi="Times New Roman"/>
          <w:sz w:val="28"/>
          <w:szCs w:val="28"/>
          <w:lang w:val="uk-UA"/>
        </w:rPr>
        <w:t>р</w:t>
      </w:r>
      <w:r w:rsidRPr="008C0C5A">
        <w:rPr>
          <w:rFonts w:ascii="Times New Roman" w:hAnsi="Times New Roman"/>
          <w:sz w:val="28"/>
          <w:szCs w:val="28"/>
          <w:lang w:val="uk-UA"/>
        </w:rPr>
        <w:t>тнерських відносин з клієнтами. На відміну від них, більшість українських ФП у внутрішньофірмовому менеджменті акцентують увагу на економічному боці бізнес-процесів, і не приділяють достатньо уваги розвитку соціально в</w:t>
      </w:r>
      <w:r w:rsidRPr="008C0C5A">
        <w:rPr>
          <w:rFonts w:ascii="Times New Roman" w:hAnsi="Times New Roman"/>
          <w:sz w:val="28"/>
          <w:szCs w:val="28"/>
          <w:lang w:val="uk-UA"/>
        </w:rPr>
        <w:t>і</w:t>
      </w:r>
      <w:r w:rsidRPr="008C0C5A">
        <w:rPr>
          <w:rFonts w:ascii="Times New Roman" w:hAnsi="Times New Roman"/>
          <w:sz w:val="28"/>
          <w:szCs w:val="28"/>
          <w:lang w:val="uk-UA"/>
        </w:rPr>
        <w:t>дповідальної діяльності. А такий одно</w:t>
      </w:r>
      <w:r>
        <w:rPr>
          <w:rFonts w:ascii="Times New Roman" w:hAnsi="Times New Roman"/>
          <w:sz w:val="28"/>
          <w:szCs w:val="28"/>
          <w:lang w:val="uk-UA"/>
        </w:rPr>
        <w:t>бічний</w:t>
      </w:r>
      <w:r w:rsidRPr="008C0C5A">
        <w:rPr>
          <w:rFonts w:ascii="Times New Roman" w:hAnsi="Times New Roman"/>
          <w:sz w:val="28"/>
          <w:szCs w:val="28"/>
          <w:lang w:val="uk-UA"/>
        </w:rPr>
        <w:t xml:space="preserve"> підхід до управління супер</w:t>
      </w:r>
      <w:r w:rsidRPr="008C0C5A">
        <w:rPr>
          <w:rFonts w:ascii="Times New Roman" w:hAnsi="Times New Roman"/>
          <w:sz w:val="28"/>
          <w:szCs w:val="28"/>
          <w:lang w:val="uk-UA"/>
        </w:rPr>
        <w:t>е</w:t>
      </w:r>
      <w:r w:rsidRPr="008C0C5A">
        <w:rPr>
          <w:rFonts w:ascii="Times New Roman" w:hAnsi="Times New Roman"/>
          <w:sz w:val="28"/>
          <w:szCs w:val="28"/>
          <w:lang w:val="uk-UA"/>
        </w:rPr>
        <w:t>чить концепції соціальної відповідальності та сталого розвитку. Отже, для досягнення високого конкурентного статусу вітчизняним ФП необхідно ф</w:t>
      </w:r>
      <w:r w:rsidRPr="008C0C5A">
        <w:rPr>
          <w:rFonts w:ascii="Times New Roman" w:hAnsi="Times New Roman"/>
          <w:sz w:val="28"/>
          <w:szCs w:val="28"/>
          <w:lang w:val="uk-UA"/>
        </w:rPr>
        <w:t>о</w:t>
      </w:r>
      <w:r w:rsidRPr="008C0C5A">
        <w:rPr>
          <w:rFonts w:ascii="Times New Roman" w:hAnsi="Times New Roman"/>
          <w:sz w:val="28"/>
          <w:szCs w:val="28"/>
          <w:lang w:val="uk-UA"/>
        </w:rPr>
        <w:t>рмувати, оцінювати та розвивати власну соціально відповідальну діяльність шляхом впровадження сучасних досягнень науки.</w:t>
      </w:r>
    </w:p>
    <w:p w:rsidR="006D1CDA" w:rsidRPr="008C0C5A" w:rsidRDefault="006D1CDA" w:rsidP="00AA52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0C5A">
        <w:rPr>
          <w:rFonts w:ascii="Times New Roman" w:hAnsi="Times New Roman"/>
          <w:sz w:val="28"/>
          <w:szCs w:val="28"/>
          <w:lang w:val="uk-UA"/>
        </w:rPr>
        <w:t>Об’єктом дослідження є соціально відповідальна діяльність вітчизн</w:t>
      </w:r>
      <w:r w:rsidRPr="008C0C5A">
        <w:rPr>
          <w:rFonts w:ascii="Times New Roman" w:hAnsi="Times New Roman"/>
          <w:sz w:val="28"/>
          <w:szCs w:val="28"/>
          <w:lang w:val="uk-UA"/>
        </w:rPr>
        <w:t>я</w:t>
      </w:r>
      <w:r w:rsidRPr="008C0C5A">
        <w:rPr>
          <w:rFonts w:ascii="Times New Roman" w:hAnsi="Times New Roman"/>
          <w:sz w:val="28"/>
          <w:szCs w:val="28"/>
          <w:lang w:val="uk-UA"/>
        </w:rPr>
        <w:t>них і зарубіжних фармацевтичних компаній.</w:t>
      </w:r>
    </w:p>
    <w:p w:rsidR="006D1CDA" w:rsidRPr="008C0C5A" w:rsidRDefault="00493C69" w:rsidP="00F35B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1" type="#_x0000_t202" style="position:absolute;left:0;text-align:left;margin-left:217.2pt;margin-top:42.65pt;width:32.25pt;height:24pt;z-index:251663360" stroked="f">
            <v:textbox>
              <w:txbxContent>
                <w:p w:rsidR="008614DA" w:rsidRPr="00CD0445" w:rsidRDefault="008614DA" w:rsidP="00CD0445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6D1CDA" w:rsidRPr="008C0C5A">
        <w:rPr>
          <w:rFonts w:ascii="Times New Roman" w:hAnsi="Times New Roman"/>
          <w:sz w:val="28"/>
          <w:szCs w:val="28"/>
          <w:lang w:val="uk-UA"/>
        </w:rPr>
        <w:t xml:space="preserve">Науково-методичні рекомендації спрямовані на формування науково-практичних підходів до оцінки </w:t>
      </w:r>
      <w:r w:rsidR="00433F5B">
        <w:rPr>
          <w:rFonts w:ascii="Times New Roman" w:hAnsi="Times New Roman"/>
          <w:sz w:val="28"/>
          <w:szCs w:val="28"/>
          <w:lang w:val="uk-UA"/>
        </w:rPr>
        <w:t xml:space="preserve">соціальної відповідальності фармацевтичного </w:t>
      </w:r>
      <w:r w:rsidR="00433F5B">
        <w:rPr>
          <w:rFonts w:ascii="Times New Roman" w:hAnsi="Times New Roman"/>
          <w:sz w:val="28"/>
          <w:szCs w:val="28"/>
          <w:lang w:val="uk-UA"/>
        </w:rPr>
        <w:lastRenderedPageBreak/>
        <w:t>бізнесу (</w:t>
      </w:r>
      <w:r w:rsidR="006D1CDA" w:rsidRPr="008C0C5A">
        <w:rPr>
          <w:rFonts w:ascii="Times New Roman" w:hAnsi="Times New Roman"/>
          <w:sz w:val="28"/>
          <w:szCs w:val="28"/>
          <w:lang w:val="uk-UA"/>
        </w:rPr>
        <w:t>СВФБ</w:t>
      </w:r>
      <w:r w:rsidR="00433F5B">
        <w:rPr>
          <w:rFonts w:ascii="Times New Roman" w:hAnsi="Times New Roman"/>
          <w:sz w:val="28"/>
          <w:szCs w:val="28"/>
          <w:lang w:val="uk-UA"/>
        </w:rPr>
        <w:t>)</w:t>
      </w:r>
      <w:r w:rsidR="006D1CDA" w:rsidRPr="008C0C5A">
        <w:rPr>
          <w:rFonts w:ascii="Times New Roman" w:hAnsi="Times New Roman"/>
          <w:sz w:val="28"/>
          <w:szCs w:val="28"/>
          <w:lang w:val="uk-UA"/>
        </w:rPr>
        <w:t xml:space="preserve">, що дозволить більш обґрунтовано підходити до обрання стратегії розвитку соціально відповідальної діяльності вітчизняних ФП, </w:t>
      </w:r>
      <w:r w:rsidR="00433F5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D1CDA" w:rsidRPr="008C0C5A">
        <w:rPr>
          <w:rFonts w:ascii="Times New Roman" w:hAnsi="Times New Roman"/>
          <w:sz w:val="28"/>
          <w:szCs w:val="28"/>
          <w:lang w:val="uk-UA"/>
        </w:rPr>
        <w:t>завдяки чому підвищиться їхня конкурентоспроможність як на українському, так і на світовому фармацевтичному ринках.</w:t>
      </w:r>
    </w:p>
    <w:p w:rsidR="003020AF" w:rsidRDefault="006D1CDA" w:rsidP="00F35B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0C5A">
        <w:rPr>
          <w:rFonts w:ascii="Times New Roman" w:hAnsi="Times New Roman"/>
          <w:sz w:val="28"/>
          <w:szCs w:val="28"/>
          <w:lang w:val="uk-UA"/>
        </w:rPr>
        <w:t xml:space="preserve">Наукова новизна одержаних результатів полягає в </w:t>
      </w:r>
      <w:r w:rsidR="003020AF">
        <w:rPr>
          <w:rFonts w:ascii="Times New Roman" w:hAnsi="Times New Roman"/>
          <w:sz w:val="28"/>
          <w:szCs w:val="28"/>
          <w:lang w:val="uk-UA"/>
        </w:rPr>
        <w:t>такому:</w:t>
      </w:r>
    </w:p>
    <w:p w:rsidR="003020AF" w:rsidRDefault="003020AF" w:rsidP="00F35BE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визначено сутність та значення СВФБ;</w:t>
      </w:r>
    </w:p>
    <w:p w:rsidR="003020AF" w:rsidRDefault="003020AF" w:rsidP="00F35BE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удосконалено підходи до формування сукупності показників оцінки СВФБ;</w:t>
      </w:r>
    </w:p>
    <w:p w:rsidR="006D1CDA" w:rsidRDefault="003020AF" w:rsidP="00F35BE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8C0C5A">
        <w:rPr>
          <w:rFonts w:ascii="Times New Roman" w:hAnsi="Times New Roman"/>
          <w:sz w:val="28"/>
          <w:szCs w:val="28"/>
          <w:lang w:val="uk-UA"/>
        </w:rPr>
        <w:t>побудов</w:t>
      </w:r>
      <w:r>
        <w:rPr>
          <w:rFonts w:ascii="Times New Roman" w:hAnsi="Times New Roman"/>
          <w:sz w:val="28"/>
          <w:szCs w:val="28"/>
          <w:lang w:val="uk-UA"/>
        </w:rPr>
        <w:t>ана система оцінки СВФБ</w:t>
      </w:r>
      <w:r w:rsidR="006D1CDA" w:rsidRPr="008C0C5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застосування якої</w:t>
      </w:r>
      <w:r w:rsidR="006D1CDA" w:rsidRPr="008C0C5A">
        <w:rPr>
          <w:rFonts w:ascii="Times New Roman" w:hAnsi="Times New Roman"/>
          <w:sz w:val="28"/>
          <w:szCs w:val="28"/>
          <w:lang w:val="uk-UA"/>
        </w:rPr>
        <w:t xml:space="preserve"> дозволить </w:t>
      </w:r>
      <w:r w:rsidR="006D1CDA">
        <w:rPr>
          <w:rFonts w:ascii="Times New Roman" w:hAnsi="Times New Roman"/>
          <w:sz w:val="28"/>
          <w:szCs w:val="28"/>
          <w:lang w:val="uk-UA"/>
        </w:rPr>
        <w:t>більш ефе</w:t>
      </w:r>
      <w:r w:rsidR="006D1CDA">
        <w:rPr>
          <w:rFonts w:ascii="Times New Roman" w:hAnsi="Times New Roman"/>
          <w:sz w:val="28"/>
          <w:szCs w:val="28"/>
          <w:lang w:val="uk-UA"/>
        </w:rPr>
        <w:t>к</w:t>
      </w:r>
      <w:r w:rsidR="006D1CDA">
        <w:rPr>
          <w:rFonts w:ascii="Times New Roman" w:hAnsi="Times New Roman"/>
          <w:sz w:val="28"/>
          <w:szCs w:val="28"/>
          <w:lang w:val="uk-UA"/>
        </w:rPr>
        <w:t>тивно обирати та оптимально поєднувати адекватні сучасним вимогам мет</w:t>
      </w:r>
      <w:r w:rsidR="006D1CDA">
        <w:rPr>
          <w:rFonts w:ascii="Times New Roman" w:hAnsi="Times New Roman"/>
          <w:sz w:val="28"/>
          <w:szCs w:val="28"/>
          <w:lang w:val="uk-UA"/>
        </w:rPr>
        <w:t>о</w:t>
      </w:r>
      <w:r w:rsidR="006D1CDA">
        <w:rPr>
          <w:rFonts w:ascii="Times New Roman" w:hAnsi="Times New Roman"/>
          <w:sz w:val="28"/>
          <w:szCs w:val="28"/>
          <w:lang w:val="uk-UA"/>
        </w:rPr>
        <w:t>ди та інструменти оцінки соціально відповідальної діяльності ФП, залучаючи до процесу оцінки зацікавлені сторони (стейкхолдерів) та враховуючи їхні інтереси для побудови сталих партнерських відносин.</w:t>
      </w:r>
    </w:p>
    <w:p w:rsidR="00CD0445" w:rsidRPr="003020AF" w:rsidRDefault="006D1CDA" w:rsidP="00F35B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Науково-м</w:t>
      </w:r>
      <w:r w:rsidRPr="008C0C5A">
        <w:rPr>
          <w:rFonts w:ascii="Times New Roman" w:hAnsi="Times New Roman"/>
          <w:sz w:val="28"/>
          <w:szCs w:val="28"/>
          <w:lang w:val="uk-UA"/>
        </w:rPr>
        <w:t>етодичні рекомендації підготовлені за результатами досл</w:t>
      </w:r>
      <w:r w:rsidRPr="008C0C5A">
        <w:rPr>
          <w:rFonts w:ascii="Times New Roman" w:hAnsi="Times New Roman"/>
          <w:sz w:val="28"/>
          <w:szCs w:val="28"/>
          <w:lang w:val="uk-UA"/>
        </w:rPr>
        <w:t>і</w:t>
      </w:r>
      <w:r w:rsidRPr="008C0C5A">
        <w:rPr>
          <w:rFonts w:ascii="Times New Roman" w:hAnsi="Times New Roman"/>
          <w:sz w:val="28"/>
          <w:szCs w:val="28"/>
          <w:lang w:val="uk-UA"/>
        </w:rPr>
        <w:t>джень за темою «Формування соціальноорієнтованої інноваційно-логістичної моделі розвитку фармацевтичної галузі України» (номер державної реєстр</w:t>
      </w:r>
      <w:r w:rsidRPr="008C0C5A">
        <w:rPr>
          <w:rFonts w:ascii="Times New Roman" w:hAnsi="Times New Roman"/>
          <w:sz w:val="28"/>
          <w:szCs w:val="28"/>
          <w:lang w:val="uk-UA"/>
        </w:rPr>
        <w:t>а</w:t>
      </w:r>
      <w:r w:rsidRPr="008C0C5A">
        <w:rPr>
          <w:rFonts w:ascii="Times New Roman" w:hAnsi="Times New Roman"/>
          <w:sz w:val="28"/>
          <w:szCs w:val="28"/>
          <w:lang w:val="uk-UA"/>
        </w:rPr>
        <w:t>ції 0114</w:t>
      </w:r>
      <w:r w:rsidRPr="008C0C5A">
        <w:rPr>
          <w:rFonts w:ascii="Times New Roman" w:hAnsi="Times New Roman"/>
          <w:sz w:val="28"/>
          <w:szCs w:val="28"/>
        </w:rPr>
        <w:t>U</w:t>
      </w:r>
      <w:r w:rsidRPr="008C0C5A">
        <w:rPr>
          <w:rFonts w:ascii="Times New Roman" w:hAnsi="Times New Roman"/>
          <w:sz w:val="28"/>
          <w:szCs w:val="28"/>
          <w:lang w:val="uk-UA"/>
        </w:rPr>
        <w:t xml:space="preserve">000961) 2014-2017 рр., яка </w:t>
      </w:r>
      <w:r w:rsidRPr="00F233A8">
        <w:rPr>
          <w:rFonts w:ascii="Times New Roman" w:hAnsi="Times New Roman"/>
          <w:sz w:val="28"/>
          <w:szCs w:val="28"/>
          <w:lang w:val="uk-UA"/>
        </w:rPr>
        <w:t>виконується згідно з планом науково-дослідних робіт Національно</w:t>
      </w:r>
      <w:r w:rsidR="00F233A8" w:rsidRPr="00F233A8">
        <w:rPr>
          <w:rFonts w:ascii="Times New Roman" w:hAnsi="Times New Roman"/>
          <w:sz w:val="28"/>
          <w:szCs w:val="28"/>
          <w:lang w:val="uk-UA"/>
        </w:rPr>
        <w:t>го фармацевтичного університету</w:t>
      </w:r>
      <w:r w:rsidRPr="00F233A8">
        <w:rPr>
          <w:rFonts w:ascii="Times New Roman" w:hAnsi="Times New Roman"/>
          <w:sz w:val="28"/>
          <w:szCs w:val="28"/>
          <w:lang w:val="uk-UA"/>
        </w:rPr>
        <w:t>.</w:t>
      </w:r>
    </w:p>
    <w:p w:rsidR="006D1CDA" w:rsidRPr="009D4EAD" w:rsidRDefault="006D1CDA" w:rsidP="009D4E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4EAD">
        <w:rPr>
          <w:rFonts w:ascii="Times New Roman" w:hAnsi="Times New Roman"/>
          <w:sz w:val="28"/>
          <w:szCs w:val="28"/>
          <w:lang w:val="uk-UA"/>
        </w:rPr>
        <w:t xml:space="preserve">Методичні рекомендації </w:t>
      </w:r>
      <w:r w:rsidRPr="00F233A8">
        <w:rPr>
          <w:rFonts w:ascii="Times New Roman" w:hAnsi="Times New Roman"/>
          <w:sz w:val="28"/>
          <w:szCs w:val="28"/>
          <w:lang w:val="uk-UA"/>
        </w:rPr>
        <w:t xml:space="preserve">видаються 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 xml:space="preserve">в Україні </w:t>
      </w:r>
      <w:r w:rsidRPr="00F233A8">
        <w:rPr>
          <w:rFonts w:ascii="Times New Roman" w:hAnsi="Times New Roman"/>
          <w:sz w:val="28"/>
          <w:szCs w:val="28"/>
          <w:lang w:val="uk-UA"/>
        </w:rPr>
        <w:t xml:space="preserve">вперше та призначені для керівників ФП, 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керівників підрозділів в охороні здоров'я, професіоналів в г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а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лузі фармації, м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>енеджер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ів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 xml:space="preserve"> (управител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ів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 xml:space="preserve">з громадської охорони здоров'я, </w:t>
      </w:r>
      <w:r w:rsidR="00F233A8" w:rsidRPr="00F233A8">
        <w:rPr>
          <w:rFonts w:ascii="Times New Roman" w:hAnsi="Times New Roman"/>
          <w:sz w:val="28"/>
          <w:szCs w:val="28"/>
          <w:lang w:val="uk-UA"/>
        </w:rPr>
        <w:t>м</w:t>
      </w:r>
      <w:r w:rsidR="00F233A8" w:rsidRPr="00F233A8">
        <w:rPr>
          <w:rFonts w:ascii="Times New Roman" w:hAnsi="Times New Roman"/>
          <w:sz w:val="28"/>
          <w:szCs w:val="28"/>
          <w:lang w:val="uk-UA"/>
        </w:rPr>
        <w:t>е</w:t>
      </w:r>
      <w:r w:rsidR="00F233A8" w:rsidRPr="00F233A8">
        <w:rPr>
          <w:rFonts w:ascii="Times New Roman" w:hAnsi="Times New Roman"/>
          <w:sz w:val="28"/>
          <w:szCs w:val="28"/>
          <w:lang w:val="uk-UA"/>
        </w:rPr>
        <w:t xml:space="preserve">неджерів 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>із зв'язків з громадськістю</w:t>
      </w:r>
      <w:r w:rsidRPr="00F233A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33A8" w:rsidRPr="00F233A8">
        <w:rPr>
          <w:rFonts w:ascii="Times New Roman" w:hAnsi="Times New Roman"/>
          <w:sz w:val="28"/>
          <w:szCs w:val="28"/>
          <w:lang w:val="uk-UA"/>
        </w:rPr>
        <w:t xml:space="preserve">менеджерів </w:t>
      </w:r>
      <w:r w:rsidR="00CD0445" w:rsidRPr="00F233A8">
        <w:rPr>
          <w:rFonts w:ascii="Times New Roman" w:hAnsi="Times New Roman"/>
          <w:sz w:val="28"/>
          <w:szCs w:val="28"/>
          <w:lang w:val="uk-UA"/>
        </w:rPr>
        <w:t>з персоналу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33A8" w:rsidRPr="00F233A8">
        <w:rPr>
          <w:rFonts w:ascii="Times New Roman" w:hAnsi="Times New Roman"/>
          <w:sz w:val="28"/>
          <w:szCs w:val="28"/>
          <w:lang w:val="uk-UA"/>
        </w:rPr>
        <w:t xml:space="preserve">менеджерів 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>із соціальної та корпоративної відповідальності</w:t>
      </w:r>
      <w:r w:rsidRPr="00F233A8">
        <w:rPr>
          <w:rFonts w:ascii="Times New Roman" w:hAnsi="Times New Roman"/>
          <w:sz w:val="28"/>
          <w:szCs w:val="28"/>
          <w:lang w:val="uk-UA"/>
        </w:rPr>
        <w:t>,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 xml:space="preserve"> ек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>сперт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ів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 xml:space="preserve"> із соціальної відп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>о</w:t>
      </w:r>
      <w:r w:rsidR="002A3425" w:rsidRPr="00F233A8">
        <w:rPr>
          <w:rFonts w:ascii="Times New Roman" w:hAnsi="Times New Roman"/>
          <w:sz w:val="28"/>
          <w:szCs w:val="28"/>
          <w:lang w:val="uk-UA"/>
        </w:rPr>
        <w:t>відальності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Pr="00F233A8">
        <w:rPr>
          <w:rFonts w:ascii="Times New Roman" w:hAnsi="Times New Roman"/>
          <w:sz w:val="28"/>
          <w:szCs w:val="28"/>
          <w:lang w:val="uk-UA"/>
        </w:rPr>
        <w:t>Уповноважен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их</w:t>
      </w:r>
      <w:r w:rsidRPr="00F233A8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і</w:t>
      </w:r>
      <w:r w:rsidRPr="00F233A8">
        <w:rPr>
          <w:rFonts w:ascii="Times New Roman" w:hAnsi="Times New Roman"/>
          <w:sz w:val="28"/>
          <w:szCs w:val="28"/>
          <w:lang w:val="uk-UA"/>
        </w:rPr>
        <w:t xml:space="preserve">б 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та н</w:t>
      </w:r>
      <w:r w:rsidRPr="00F233A8">
        <w:rPr>
          <w:rFonts w:ascii="Times New Roman" w:hAnsi="Times New Roman"/>
          <w:sz w:val="28"/>
          <w:szCs w:val="28"/>
          <w:lang w:val="uk-UA"/>
        </w:rPr>
        <w:t>ауков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их</w:t>
      </w:r>
      <w:r w:rsidRPr="00F233A8">
        <w:rPr>
          <w:rFonts w:ascii="Times New Roman" w:hAnsi="Times New Roman"/>
          <w:sz w:val="28"/>
          <w:szCs w:val="28"/>
          <w:lang w:val="uk-UA"/>
        </w:rPr>
        <w:t xml:space="preserve"> співробітник</w:t>
      </w:r>
      <w:r w:rsidR="009D4EAD" w:rsidRPr="00F233A8">
        <w:rPr>
          <w:rFonts w:ascii="Times New Roman" w:hAnsi="Times New Roman"/>
          <w:sz w:val="28"/>
          <w:szCs w:val="28"/>
          <w:lang w:val="uk-UA"/>
        </w:rPr>
        <w:t>ів.</w:t>
      </w:r>
    </w:p>
    <w:p w:rsidR="00F233A8" w:rsidRDefault="00F233A8" w:rsidP="0010040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D1CDA" w:rsidRPr="008C0C5A" w:rsidRDefault="00493C69" w:rsidP="008928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2" type="#_x0000_t202" style="position:absolute;left:0;text-align:left;margin-left:217.95pt;margin-top:138.95pt;width:32.25pt;height:24pt;z-index:251664384" stroked="f">
            <v:textbox>
              <w:txbxContent>
                <w:p w:rsidR="008614DA" w:rsidRPr="00CD0445" w:rsidRDefault="008614DA" w:rsidP="00CD0445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xbxContent>
            </v:textbox>
          </v:shape>
        </w:pict>
      </w:r>
    </w:p>
    <w:p w:rsidR="006D1CDA" w:rsidRPr="008C0C5A" w:rsidRDefault="006D1CDA" w:rsidP="00892896">
      <w:pPr>
        <w:pStyle w:val="a7"/>
        <w:sectPr w:rsidR="006D1CDA" w:rsidRPr="008C0C5A" w:rsidSect="002E43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D1CDA" w:rsidRDefault="006D1CDA" w:rsidP="009F2F11">
      <w:pPr>
        <w:pStyle w:val="a7"/>
        <w:ind w:firstLine="0"/>
        <w:jc w:val="center"/>
        <w:rPr>
          <w:b/>
        </w:rPr>
      </w:pPr>
      <w:r w:rsidRPr="008C0C5A">
        <w:rPr>
          <w:b/>
        </w:rPr>
        <w:lastRenderedPageBreak/>
        <w:t xml:space="preserve">1. </w:t>
      </w:r>
      <w:r w:rsidRPr="00C20B6D">
        <w:rPr>
          <w:b/>
        </w:rPr>
        <w:t>АНАЛІЗ СУЧАСНИХ ТЕНДЕНЦІЙ В УПРАВЛІННІ СОЦІАЛЬНОЮ ВІДПОВІДАЛЬНІСТЮ ФАРМАЦЕВТИЧНИХ КОМПАНІЙ</w:t>
      </w:r>
    </w:p>
    <w:p w:rsidR="006D1CDA" w:rsidRPr="008C0C5A" w:rsidRDefault="006D1CDA" w:rsidP="009F2F11">
      <w:pPr>
        <w:pStyle w:val="a7"/>
        <w:ind w:firstLine="0"/>
        <w:jc w:val="center"/>
        <w:rPr>
          <w:b/>
        </w:rPr>
      </w:pPr>
    </w:p>
    <w:p w:rsidR="006D1CDA" w:rsidRDefault="006D1CDA" w:rsidP="00423F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15"/>
          <w:lang w:val="uk-UA"/>
        </w:rPr>
        <w:t>Забезпечення</w:t>
      </w:r>
      <w:r w:rsidR="00F233A8">
        <w:rPr>
          <w:rFonts w:ascii="Times New Roman" w:hAnsi="Times New Roman"/>
          <w:sz w:val="28"/>
          <w:szCs w:val="15"/>
          <w:lang w:val="uk-UA"/>
        </w:rPr>
        <w:t xml:space="preserve"> сталого соціально-економічного розвитку (</w:t>
      </w:r>
      <w:r>
        <w:rPr>
          <w:rFonts w:ascii="Times New Roman" w:hAnsi="Times New Roman"/>
          <w:sz w:val="28"/>
          <w:szCs w:val="15"/>
          <w:lang w:val="uk-UA"/>
        </w:rPr>
        <w:t>ССЕР</w:t>
      </w:r>
      <w:r w:rsidR="00F233A8">
        <w:rPr>
          <w:rFonts w:ascii="Times New Roman" w:hAnsi="Times New Roman"/>
          <w:sz w:val="28"/>
          <w:szCs w:val="15"/>
          <w:lang w:val="uk-UA"/>
        </w:rPr>
        <w:t>)</w:t>
      </w:r>
      <w:r>
        <w:rPr>
          <w:rFonts w:ascii="Times New Roman" w:hAnsi="Times New Roman"/>
          <w:sz w:val="28"/>
          <w:szCs w:val="15"/>
          <w:lang w:val="uk-UA"/>
        </w:rPr>
        <w:t xml:space="preserve"> є стр</w:t>
      </w:r>
      <w:r>
        <w:rPr>
          <w:rFonts w:ascii="Times New Roman" w:hAnsi="Times New Roman"/>
          <w:sz w:val="28"/>
          <w:szCs w:val="15"/>
          <w:lang w:val="uk-UA"/>
        </w:rPr>
        <w:t>а</w:t>
      </w:r>
      <w:r>
        <w:rPr>
          <w:rFonts w:ascii="Times New Roman" w:hAnsi="Times New Roman"/>
          <w:sz w:val="28"/>
          <w:szCs w:val="15"/>
          <w:lang w:val="uk-UA"/>
        </w:rPr>
        <w:t>тегічним завданням кожного підприємства, яке позиціонує себе як соціально відповідальна організація. СС</w:t>
      </w:r>
      <w:r w:rsidRPr="00984BFC">
        <w:rPr>
          <w:rFonts w:ascii="Times New Roman" w:hAnsi="Times New Roman"/>
          <w:sz w:val="28"/>
          <w:szCs w:val="15"/>
          <w:lang w:val="uk-UA"/>
        </w:rPr>
        <w:t>ЕР</w:t>
      </w:r>
      <w:r w:rsidR="00F233A8">
        <w:rPr>
          <w:rFonts w:ascii="Times New Roman" w:hAnsi="Times New Roman"/>
          <w:sz w:val="28"/>
          <w:szCs w:val="15"/>
          <w:lang w:val="uk-UA"/>
        </w:rPr>
        <w:t xml:space="preserve"> фармацевтичних підприємств (</w:t>
      </w:r>
      <w:r w:rsidRPr="00984BFC">
        <w:rPr>
          <w:rFonts w:ascii="Times New Roman" w:hAnsi="Times New Roman"/>
          <w:sz w:val="28"/>
          <w:szCs w:val="15"/>
          <w:lang w:val="uk-UA"/>
        </w:rPr>
        <w:t>ФП</w:t>
      </w:r>
      <w:r w:rsidR="00F233A8">
        <w:rPr>
          <w:rFonts w:ascii="Times New Roman" w:hAnsi="Times New Roman"/>
          <w:sz w:val="28"/>
          <w:szCs w:val="15"/>
          <w:lang w:val="uk-UA"/>
        </w:rPr>
        <w:t>)</w:t>
      </w:r>
      <w:r>
        <w:rPr>
          <w:rFonts w:ascii="Times New Roman" w:hAnsi="Times New Roman"/>
          <w:sz w:val="28"/>
          <w:szCs w:val="15"/>
          <w:lang w:val="uk-UA"/>
        </w:rPr>
        <w:t xml:space="preserve"> – </w:t>
      </w:r>
      <w:r w:rsidRPr="00984BFC">
        <w:rPr>
          <w:rFonts w:ascii="Times New Roman" w:hAnsi="Times New Roman"/>
          <w:sz w:val="28"/>
          <w:szCs w:val="15"/>
          <w:lang w:val="uk-UA"/>
        </w:rPr>
        <w:t xml:space="preserve">це </w:t>
      </w:r>
      <w:r w:rsidR="00F233A8">
        <w:rPr>
          <w:rFonts w:ascii="Times New Roman" w:hAnsi="Times New Roman"/>
          <w:sz w:val="28"/>
          <w:szCs w:val="15"/>
          <w:lang w:val="uk-UA"/>
        </w:rPr>
        <w:t xml:space="preserve">   </w:t>
      </w:r>
      <w:r w:rsidRPr="00984BFC">
        <w:rPr>
          <w:rFonts w:ascii="Times New Roman" w:hAnsi="Times New Roman"/>
          <w:sz w:val="28"/>
          <w:szCs w:val="15"/>
          <w:lang w:val="uk-UA"/>
        </w:rPr>
        <w:t>гармонійн</w:t>
      </w:r>
      <w:r>
        <w:rPr>
          <w:rFonts w:ascii="Times New Roman" w:hAnsi="Times New Roman"/>
          <w:sz w:val="28"/>
          <w:szCs w:val="15"/>
          <w:lang w:val="uk-UA"/>
        </w:rPr>
        <w:t>ий</w:t>
      </w:r>
      <w:r w:rsidRPr="00984BFC">
        <w:rPr>
          <w:rFonts w:ascii="Times New Roman" w:hAnsi="Times New Roman"/>
          <w:sz w:val="28"/>
          <w:szCs w:val="15"/>
          <w:lang w:val="uk-UA"/>
        </w:rPr>
        <w:t xml:space="preserve"> збалансований розвиток, в якому використання ресурсів, інве</w:t>
      </w:r>
      <w:r w:rsidRPr="00984BFC">
        <w:rPr>
          <w:rFonts w:ascii="Times New Roman" w:hAnsi="Times New Roman"/>
          <w:sz w:val="28"/>
          <w:szCs w:val="15"/>
          <w:lang w:val="uk-UA"/>
        </w:rPr>
        <w:t>с</w:t>
      </w:r>
      <w:r w:rsidRPr="00984BFC">
        <w:rPr>
          <w:rFonts w:ascii="Times New Roman" w:hAnsi="Times New Roman"/>
          <w:sz w:val="28"/>
          <w:szCs w:val="15"/>
          <w:lang w:val="uk-UA"/>
        </w:rPr>
        <w:t>тиційний, інноваційний, інституціональний та екологічний менеджмент, а т</w:t>
      </w:r>
      <w:r w:rsidRPr="00984BFC">
        <w:rPr>
          <w:rFonts w:ascii="Times New Roman" w:hAnsi="Times New Roman"/>
          <w:sz w:val="28"/>
          <w:szCs w:val="15"/>
          <w:lang w:val="uk-UA"/>
        </w:rPr>
        <w:t>а</w:t>
      </w:r>
      <w:r w:rsidRPr="00984BFC">
        <w:rPr>
          <w:rFonts w:ascii="Times New Roman" w:hAnsi="Times New Roman"/>
          <w:sz w:val="28"/>
          <w:szCs w:val="15"/>
          <w:lang w:val="uk-UA"/>
        </w:rPr>
        <w:t xml:space="preserve">кож менеджмент персоналу спрямовані на підвищення якості життя людей </w:t>
      </w:r>
      <w:r>
        <w:rPr>
          <w:rFonts w:ascii="Times New Roman" w:hAnsi="Times New Roman"/>
          <w:sz w:val="28"/>
          <w:szCs w:val="15"/>
          <w:lang w:val="uk-UA"/>
        </w:rPr>
        <w:t xml:space="preserve">та задоволення </w:t>
      </w:r>
      <w:r w:rsidRPr="00984BFC">
        <w:rPr>
          <w:rFonts w:ascii="Times New Roman" w:hAnsi="Times New Roman"/>
          <w:sz w:val="28"/>
          <w:szCs w:val="15"/>
          <w:lang w:val="uk-UA"/>
        </w:rPr>
        <w:t>потреб стейкхолдерів на основі взаємної вигоди.</w:t>
      </w:r>
      <w:r w:rsidR="00F233A8">
        <w:rPr>
          <w:rFonts w:ascii="Times New Roman" w:hAnsi="Times New Roman"/>
          <w:sz w:val="28"/>
          <w:szCs w:val="15"/>
          <w:lang w:val="uk-UA"/>
        </w:rPr>
        <w:t xml:space="preserve"> </w:t>
      </w:r>
      <w:r w:rsidRPr="007D1D16">
        <w:rPr>
          <w:rFonts w:ascii="Times New Roman" w:hAnsi="Times New Roman"/>
          <w:sz w:val="28"/>
          <w:szCs w:val="28"/>
          <w:lang w:val="uk-UA"/>
        </w:rPr>
        <w:t>Сталий розв</w:t>
      </w:r>
      <w:r w:rsidRPr="007D1D16">
        <w:rPr>
          <w:rFonts w:ascii="Times New Roman" w:hAnsi="Times New Roman"/>
          <w:sz w:val="28"/>
          <w:szCs w:val="28"/>
          <w:lang w:val="uk-UA"/>
        </w:rPr>
        <w:t>и</w:t>
      </w:r>
      <w:r w:rsidRPr="007D1D16">
        <w:rPr>
          <w:rFonts w:ascii="Times New Roman" w:hAnsi="Times New Roman"/>
          <w:sz w:val="28"/>
          <w:szCs w:val="28"/>
          <w:lang w:val="uk-UA"/>
        </w:rPr>
        <w:t>ток є запорукою ефективного функціонування ФП, він сприяє отриманню і</w:t>
      </w:r>
      <w:r w:rsidRPr="007D1D16">
        <w:rPr>
          <w:rFonts w:ascii="Times New Roman" w:hAnsi="Times New Roman"/>
          <w:sz w:val="28"/>
          <w:szCs w:val="28"/>
          <w:lang w:val="uk-UA"/>
        </w:rPr>
        <w:t>с</w:t>
      </w:r>
      <w:r w:rsidRPr="007D1D16">
        <w:rPr>
          <w:rFonts w:ascii="Times New Roman" w:hAnsi="Times New Roman"/>
          <w:sz w:val="28"/>
          <w:szCs w:val="28"/>
          <w:lang w:val="uk-UA"/>
        </w:rPr>
        <w:t>тотних переваг в конкурентній боротьбі, і є відображенням потенціалу соці</w:t>
      </w:r>
      <w:r w:rsidRPr="007D1D16">
        <w:rPr>
          <w:rFonts w:ascii="Times New Roman" w:hAnsi="Times New Roman"/>
          <w:sz w:val="28"/>
          <w:szCs w:val="28"/>
          <w:lang w:val="uk-UA"/>
        </w:rPr>
        <w:t>а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льно-економічних процесів. </w:t>
      </w:r>
    </w:p>
    <w:p w:rsidR="006D1CDA" w:rsidRPr="00DB1029" w:rsidRDefault="006D1CDA" w:rsidP="00423FAE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DB1029">
        <w:rPr>
          <w:rFonts w:ascii="Times New Roman" w:hAnsi="Times New Roman"/>
          <w:spacing w:val="-2"/>
          <w:sz w:val="28"/>
          <w:szCs w:val="28"/>
          <w:lang w:val="uk-UA"/>
        </w:rPr>
        <w:t>Сталий розвиток – це загальна концепція про необхідність встановлення балансу між задоволенням сучасних потреб суспільства і захистом інтересів майбутніх поколінь, включаючи їх потребу в підвищенні якості життя з урах</w:t>
      </w:r>
      <w:r w:rsidRPr="00DB1029">
        <w:rPr>
          <w:rFonts w:ascii="Times New Roman" w:hAnsi="Times New Roman"/>
          <w:spacing w:val="-2"/>
          <w:sz w:val="28"/>
          <w:szCs w:val="28"/>
          <w:lang w:val="uk-UA"/>
        </w:rPr>
        <w:t>у</w:t>
      </w:r>
      <w:r w:rsidRPr="00DB1029">
        <w:rPr>
          <w:rFonts w:ascii="Times New Roman" w:hAnsi="Times New Roman"/>
          <w:spacing w:val="-2"/>
          <w:sz w:val="28"/>
          <w:szCs w:val="28"/>
          <w:lang w:val="uk-UA"/>
        </w:rPr>
        <w:t>ванням аспектів здоров’я, безпеки та чистоти довкілля. Вчені-прихильники сталого розвитку вважають дану концепцію перспективною ідеологією 21 ст</w:t>
      </w:r>
      <w:r w:rsidRPr="00DB1029">
        <w:rPr>
          <w:rFonts w:ascii="Times New Roman" w:hAnsi="Times New Roman"/>
          <w:spacing w:val="-2"/>
          <w:sz w:val="28"/>
          <w:szCs w:val="28"/>
          <w:lang w:val="uk-UA"/>
        </w:rPr>
        <w:t>о</w:t>
      </w:r>
      <w:r w:rsidRPr="00DB1029">
        <w:rPr>
          <w:rFonts w:ascii="Times New Roman" w:hAnsi="Times New Roman"/>
          <w:spacing w:val="-2"/>
          <w:sz w:val="28"/>
          <w:szCs w:val="28"/>
          <w:lang w:val="uk-UA"/>
        </w:rPr>
        <w:t>ліття і навіть усього третього тисячоліття, яка, з поглибленням наукової о</w:t>
      </w:r>
      <w:r w:rsidRPr="00DB1029">
        <w:rPr>
          <w:rFonts w:ascii="Times New Roman" w:hAnsi="Times New Roman"/>
          <w:spacing w:val="-2"/>
          <w:sz w:val="28"/>
          <w:szCs w:val="28"/>
          <w:lang w:val="uk-UA"/>
        </w:rPr>
        <w:t>б</w:t>
      </w:r>
      <w:r w:rsidRPr="00DB1029">
        <w:rPr>
          <w:rFonts w:ascii="Times New Roman" w:hAnsi="Times New Roman"/>
          <w:spacing w:val="-2"/>
          <w:sz w:val="28"/>
          <w:szCs w:val="28"/>
          <w:lang w:val="uk-UA"/>
        </w:rPr>
        <w:t>ґрунтованості, витіснить всі наявні світоглядні ідеології, як є фрагментарними, неспроможними забезпечити збалансований розвиток цивілізації. Сталий ро</w:t>
      </w:r>
      <w:r w:rsidRPr="00DB1029">
        <w:rPr>
          <w:rFonts w:ascii="Times New Roman" w:hAnsi="Times New Roman"/>
          <w:spacing w:val="-2"/>
          <w:sz w:val="28"/>
          <w:szCs w:val="28"/>
          <w:lang w:val="uk-UA"/>
        </w:rPr>
        <w:t>з</w:t>
      </w:r>
      <w:r w:rsidRPr="00DB1029">
        <w:rPr>
          <w:rFonts w:ascii="Times New Roman" w:hAnsi="Times New Roman"/>
          <w:spacing w:val="-2"/>
          <w:sz w:val="28"/>
          <w:szCs w:val="28"/>
          <w:lang w:val="uk-UA"/>
        </w:rPr>
        <w:t>виток – це керований розвиток. Основою його керованості є системний підхід та сучасні інформаційні технології, які дозволяють швидко моделювати різні варіанти напрямків розвитку і вибирати найбільш оптимальний.</w:t>
      </w:r>
    </w:p>
    <w:p w:rsidR="006D1CDA" w:rsidRDefault="00493C69" w:rsidP="00F233A8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  <w:lang w:val="uk-UA"/>
        </w:rPr>
      </w:pPr>
      <w:r w:rsidRPr="00493C69">
        <w:rPr>
          <w:rFonts w:ascii="Times New Roman" w:hAnsi="Times New Roman"/>
          <w:noProof/>
          <w:sz w:val="28"/>
        </w:rPr>
        <w:pict>
          <v:shape id="_x0000_s1043" type="#_x0000_t202" style="position:absolute;left:0;text-align:left;margin-left:220.2pt;margin-top:139.4pt;width:32.25pt;height:24pt;z-index:251665408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xbxContent>
            </v:textbox>
          </v:shape>
        </w:pict>
      </w:r>
      <w:r w:rsidR="006D1CDA">
        <w:rPr>
          <w:rFonts w:ascii="Times New Roman" w:hAnsi="Times New Roman"/>
          <w:sz w:val="28"/>
          <w:lang w:val="uk-UA"/>
        </w:rPr>
        <w:t>Однією зі складових забезпечення ССЕР ФП є побудова ефективної с</w:t>
      </w:r>
      <w:r w:rsidR="006D1CDA">
        <w:rPr>
          <w:rFonts w:ascii="Times New Roman" w:hAnsi="Times New Roman"/>
          <w:sz w:val="28"/>
          <w:lang w:val="uk-UA"/>
        </w:rPr>
        <w:t>и</w:t>
      </w:r>
      <w:r w:rsidR="006D1CDA">
        <w:rPr>
          <w:rFonts w:ascii="Times New Roman" w:hAnsi="Times New Roman"/>
          <w:sz w:val="28"/>
          <w:lang w:val="uk-UA"/>
        </w:rPr>
        <w:t>стеми соціальної відповідальності, яка створює підґрунтя для побудови сук</w:t>
      </w:r>
      <w:r w:rsidR="006D1CDA">
        <w:rPr>
          <w:rFonts w:ascii="Times New Roman" w:hAnsi="Times New Roman"/>
          <w:sz w:val="28"/>
          <w:lang w:val="uk-UA"/>
        </w:rPr>
        <w:t>у</w:t>
      </w:r>
      <w:r w:rsidR="006D1CDA">
        <w:rPr>
          <w:rFonts w:ascii="Times New Roman" w:hAnsi="Times New Roman"/>
          <w:sz w:val="28"/>
          <w:lang w:val="uk-UA"/>
        </w:rPr>
        <w:t xml:space="preserve">пності стабільних партнерських відносин зі стейкхолдерами. СВФБ – це 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>зд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>а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>тність суб’єктів фармацевтичної галузі брати на себе зобов’язання фінанс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>о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 xml:space="preserve">вого, економічного, соціального і екологічного характеру за наслідки їхньої діяльності перед державою, суспільством, навколишнім співтовариством, </w:t>
      </w:r>
      <w:r w:rsidR="00F233A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lastRenderedPageBreak/>
        <w:t>персоналом, бізнес-партнерами та іншими зацікавленими сторонами, яка р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>е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>алізується через етичну поведінку з урахуванням інтересів і очікувань всіх стейкхолдерів при дотриманні чинного законодавства</w:t>
      </w:r>
      <w:r w:rsidR="00F233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="00F233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 xml:space="preserve">міжнародних </w:t>
      </w:r>
      <w:r w:rsidR="00F233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>ста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>н</w:t>
      </w:r>
      <w:r w:rsidR="006D1CDA" w:rsidRPr="00E438FA">
        <w:rPr>
          <w:rFonts w:ascii="Times New Roman" w:hAnsi="Times New Roman"/>
          <w:sz w:val="28"/>
          <w:szCs w:val="28"/>
          <w:lang w:val="uk-UA"/>
        </w:rPr>
        <w:t xml:space="preserve">дартів на принципах добровільності і взаємної вигоди. </w:t>
      </w:r>
      <w:r w:rsidR="006D1CDA">
        <w:rPr>
          <w:rFonts w:ascii="Times New Roman" w:hAnsi="Times New Roman"/>
          <w:spacing w:val="-4"/>
          <w:sz w:val="28"/>
          <w:szCs w:val="28"/>
          <w:lang w:val="uk-UA"/>
        </w:rPr>
        <w:t>Сьогодні у всьому світі підвищується роль соціальної відповідальності не тільки бізнесу, але й соціал</w:t>
      </w:r>
      <w:r w:rsidR="006D1CDA">
        <w:rPr>
          <w:rFonts w:ascii="Times New Roman" w:hAnsi="Times New Roman"/>
          <w:spacing w:val="-4"/>
          <w:sz w:val="28"/>
          <w:szCs w:val="28"/>
          <w:lang w:val="uk-UA"/>
        </w:rPr>
        <w:t>ь</w:t>
      </w:r>
      <w:r w:rsidR="006D1CDA">
        <w:rPr>
          <w:rFonts w:ascii="Times New Roman" w:hAnsi="Times New Roman"/>
          <w:spacing w:val="-4"/>
          <w:sz w:val="28"/>
          <w:szCs w:val="28"/>
          <w:lang w:val="uk-UA"/>
        </w:rPr>
        <w:t>н</w:t>
      </w:r>
      <w:r w:rsidR="0015412C">
        <w:rPr>
          <w:rFonts w:ascii="Times New Roman" w:hAnsi="Times New Roman"/>
          <w:spacing w:val="-4"/>
          <w:sz w:val="28"/>
          <w:szCs w:val="28"/>
          <w:lang w:val="uk-UA"/>
        </w:rPr>
        <w:t>ої</w:t>
      </w:r>
      <w:r w:rsidR="006D1CDA">
        <w:rPr>
          <w:rFonts w:ascii="Times New Roman" w:hAnsi="Times New Roman"/>
          <w:spacing w:val="-4"/>
          <w:sz w:val="28"/>
          <w:szCs w:val="28"/>
          <w:lang w:val="uk-UA"/>
        </w:rPr>
        <w:t xml:space="preserve"> відповідальн</w:t>
      </w:r>
      <w:r w:rsidR="0015412C">
        <w:rPr>
          <w:rFonts w:ascii="Times New Roman" w:hAnsi="Times New Roman"/>
          <w:spacing w:val="-4"/>
          <w:sz w:val="28"/>
          <w:szCs w:val="28"/>
          <w:lang w:val="uk-UA"/>
        </w:rPr>
        <w:t>о</w:t>
      </w:r>
      <w:r w:rsidR="006D1CDA">
        <w:rPr>
          <w:rFonts w:ascii="Times New Roman" w:hAnsi="Times New Roman"/>
          <w:spacing w:val="-4"/>
          <w:sz w:val="28"/>
          <w:szCs w:val="28"/>
          <w:lang w:val="uk-UA"/>
        </w:rPr>
        <w:t>ст</w:t>
      </w:r>
      <w:r w:rsidR="0015412C">
        <w:rPr>
          <w:rFonts w:ascii="Times New Roman" w:hAnsi="Times New Roman"/>
          <w:spacing w:val="-4"/>
          <w:sz w:val="28"/>
          <w:szCs w:val="28"/>
          <w:lang w:val="uk-UA"/>
        </w:rPr>
        <w:t>і</w:t>
      </w:r>
      <w:r w:rsidR="006D1CDA">
        <w:rPr>
          <w:rFonts w:ascii="Times New Roman" w:hAnsi="Times New Roman"/>
          <w:spacing w:val="-4"/>
          <w:sz w:val="28"/>
          <w:szCs w:val="28"/>
          <w:lang w:val="uk-UA"/>
        </w:rPr>
        <w:t xml:space="preserve"> країни, яка є основою конкурентоспроможності бізнесу та важливою складовою його іміджу та репутації. Вчені всього світу доводять на</w:t>
      </w:r>
      <w:r w:rsidR="006D1CDA">
        <w:rPr>
          <w:rFonts w:ascii="Times New Roman" w:hAnsi="Times New Roman"/>
          <w:spacing w:val="-4"/>
          <w:sz w:val="28"/>
          <w:szCs w:val="28"/>
          <w:lang w:val="uk-UA"/>
        </w:rPr>
        <w:t>я</w:t>
      </w:r>
      <w:r w:rsidR="006D1CDA">
        <w:rPr>
          <w:rFonts w:ascii="Times New Roman" w:hAnsi="Times New Roman"/>
          <w:spacing w:val="-4"/>
          <w:sz w:val="28"/>
          <w:szCs w:val="28"/>
          <w:lang w:val="uk-UA"/>
        </w:rPr>
        <w:t xml:space="preserve">вність тісного зв’язку між рівнем соціальної відповідальності бізнесу та країни. Для підтвердження цієї гіпотези нами </w:t>
      </w:r>
      <w:r w:rsidR="006D1CDA" w:rsidRPr="00077CE8">
        <w:rPr>
          <w:rFonts w:ascii="Times New Roman" w:hAnsi="Times New Roman"/>
          <w:spacing w:val="-4"/>
          <w:sz w:val="28"/>
          <w:szCs w:val="28"/>
          <w:lang w:val="uk-UA"/>
        </w:rPr>
        <w:t>проаналізовані дані досліджень міжнар</w:t>
      </w:r>
      <w:r w:rsidR="006D1CDA" w:rsidRPr="00077CE8">
        <w:rPr>
          <w:rFonts w:ascii="Times New Roman" w:hAnsi="Times New Roman"/>
          <w:spacing w:val="-4"/>
          <w:sz w:val="28"/>
          <w:szCs w:val="28"/>
          <w:lang w:val="uk-UA"/>
        </w:rPr>
        <w:t>о</w:t>
      </w:r>
      <w:r w:rsidR="006D1CDA" w:rsidRPr="00077CE8">
        <w:rPr>
          <w:rFonts w:ascii="Times New Roman" w:hAnsi="Times New Roman"/>
          <w:spacing w:val="-4"/>
          <w:sz w:val="28"/>
          <w:szCs w:val="28"/>
          <w:lang w:val="uk-UA"/>
        </w:rPr>
        <w:t>дного наукового Інституту репутації (Country RepTrak від Reputation Institute Global CSR RepTrak 100), який щорічно проводить оцінку рівня репутації, ст</w:t>
      </w:r>
      <w:r w:rsidR="006D1CDA" w:rsidRPr="00077CE8">
        <w:rPr>
          <w:rFonts w:ascii="Times New Roman" w:hAnsi="Times New Roman"/>
          <w:spacing w:val="-4"/>
          <w:sz w:val="28"/>
          <w:szCs w:val="28"/>
          <w:lang w:val="uk-UA"/>
        </w:rPr>
        <w:t>а</w:t>
      </w:r>
      <w:r w:rsidR="006D1CDA" w:rsidRPr="00077CE8">
        <w:rPr>
          <w:rFonts w:ascii="Times New Roman" w:hAnsi="Times New Roman"/>
          <w:spacing w:val="-4"/>
          <w:sz w:val="28"/>
          <w:szCs w:val="28"/>
          <w:lang w:val="uk-UA"/>
        </w:rPr>
        <w:t>лого розвитку та соціальної відповідальності країн</w:t>
      </w:r>
      <w:r w:rsidR="006D1CDA">
        <w:rPr>
          <w:rFonts w:ascii="Times New Roman" w:hAnsi="Times New Roman"/>
          <w:spacing w:val="-4"/>
          <w:sz w:val="28"/>
          <w:szCs w:val="28"/>
          <w:lang w:val="uk-UA"/>
        </w:rPr>
        <w:t xml:space="preserve"> світу</w:t>
      </w:r>
      <w:r w:rsidR="006D1CDA" w:rsidRPr="00077CE8">
        <w:rPr>
          <w:rFonts w:ascii="Times New Roman" w:hAnsi="Times New Roman"/>
          <w:spacing w:val="-4"/>
          <w:sz w:val="28"/>
          <w:szCs w:val="28"/>
          <w:lang w:val="uk-UA"/>
        </w:rPr>
        <w:t>. Цей науковий інститут з головним представництвом у Нью-Йорку має дослідні бази в 34 країнах світу, включаючи Україну.</w:t>
      </w:r>
      <w:r w:rsidR="00F233A8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 xml:space="preserve">Дослідження </w:t>
      </w:r>
      <w:r w:rsidR="006D1CDA">
        <w:rPr>
          <w:rFonts w:ascii="Times New Roman" w:hAnsi="Times New Roman"/>
          <w:spacing w:val="-2"/>
          <w:sz w:val="28"/>
          <w:szCs w:val="28"/>
          <w:lang w:val="uk-UA"/>
        </w:rPr>
        <w:t>охоплює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 xml:space="preserve"> 50 країн світу </w:t>
      </w:r>
      <w:r w:rsidR="006D1CDA">
        <w:rPr>
          <w:rFonts w:ascii="Times New Roman" w:hAnsi="Times New Roman"/>
          <w:spacing w:val="-2"/>
          <w:sz w:val="28"/>
          <w:szCs w:val="28"/>
          <w:lang w:val="uk-UA"/>
        </w:rPr>
        <w:t xml:space="preserve">і враховує рівень 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>н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>а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>родної довіри, захоплення, пошани і прихильності до них. Ці чотири елементи розбиті на 16 категорій, які включають в себе: якість життя</w:t>
      </w:r>
      <w:r w:rsidR="006D1CDA">
        <w:rPr>
          <w:rFonts w:ascii="Times New Roman" w:hAnsi="Times New Roman"/>
          <w:spacing w:val="-2"/>
          <w:sz w:val="28"/>
          <w:szCs w:val="28"/>
          <w:lang w:val="uk-UA"/>
        </w:rPr>
        <w:t xml:space="preserve"> населення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 xml:space="preserve">; </w:t>
      </w:r>
      <w:r w:rsidR="006D1CDA">
        <w:rPr>
          <w:rFonts w:ascii="Times New Roman" w:hAnsi="Times New Roman"/>
          <w:spacing w:val="-2"/>
          <w:sz w:val="28"/>
          <w:szCs w:val="28"/>
          <w:lang w:val="uk-UA"/>
        </w:rPr>
        <w:t xml:space="preserve">стан 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>б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>і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>знес-середовищ</w:t>
      </w:r>
      <w:r w:rsidR="006D1CDA">
        <w:rPr>
          <w:rFonts w:ascii="Times New Roman" w:hAnsi="Times New Roman"/>
          <w:spacing w:val="-2"/>
          <w:sz w:val="28"/>
          <w:szCs w:val="28"/>
          <w:lang w:val="uk-UA"/>
        </w:rPr>
        <w:t>а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>; товари і послуги, а також красу природ</w:t>
      </w:r>
      <w:r w:rsidR="006D1CDA">
        <w:rPr>
          <w:rFonts w:ascii="Times New Roman" w:hAnsi="Times New Roman"/>
          <w:spacing w:val="-2"/>
          <w:sz w:val="28"/>
          <w:szCs w:val="28"/>
          <w:lang w:val="uk-UA"/>
        </w:rPr>
        <w:t xml:space="preserve">ита стан екологічної безпеки в 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>країн</w:t>
      </w:r>
      <w:r w:rsidR="006D1CDA">
        <w:rPr>
          <w:rFonts w:ascii="Times New Roman" w:hAnsi="Times New Roman"/>
          <w:spacing w:val="-2"/>
          <w:sz w:val="28"/>
          <w:szCs w:val="28"/>
          <w:lang w:val="uk-UA"/>
        </w:rPr>
        <w:t>і</w:t>
      </w:r>
      <w:r w:rsidR="006D1CDA" w:rsidRPr="00D94047">
        <w:rPr>
          <w:rFonts w:ascii="Times New Roman" w:hAnsi="Times New Roman"/>
          <w:spacing w:val="-2"/>
          <w:sz w:val="28"/>
          <w:szCs w:val="28"/>
          <w:lang w:val="uk-UA"/>
        </w:rPr>
        <w:t xml:space="preserve">. Ці та інші показники використовуються для визначення </w:t>
      </w:r>
      <w:r w:rsidR="006D1CDA" w:rsidRPr="00D94047">
        <w:rPr>
          <w:rFonts w:ascii="Times New Roman" w:hAnsi="Times New Roman"/>
          <w:spacing w:val="-6"/>
          <w:sz w:val="28"/>
          <w:szCs w:val="28"/>
          <w:lang w:val="uk-UA"/>
        </w:rPr>
        <w:t>ре</w:t>
      </w:r>
      <w:r w:rsidR="006D1CDA" w:rsidRPr="00D94047">
        <w:rPr>
          <w:rFonts w:ascii="Times New Roman" w:hAnsi="Times New Roman"/>
          <w:spacing w:val="-6"/>
          <w:sz w:val="28"/>
          <w:szCs w:val="28"/>
          <w:lang w:val="uk-UA"/>
        </w:rPr>
        <w:t>й</w:t>
      </w:r>
      <w:r w:rsidR="006D1CDA" w:rsidRPr="00D94047">
        <w:rPr>
          <w:rFonts w:ascii="Times New Roman" w:hAnsi="Times New Roman"/>
          <w:spacing w:val="-6"/>
          <w:sz w:val="28"/>
          <w:szCs w:val="28"/>
          <w:lang w:val="uk-UA"/>
        </w:rPr>
        <w:t>тингу країн з</w:t>
      </w:r>
      <w:r w:rsidR="006D1CDA">
        <w:rPr>
          <w:rFonts w:ascii="Times New Roman" w:hAnsi="Times New Roman"/>
          <w:spacing w:val="-6"/>
          <w:sz w:val="28"/>
          <w:szCs w:val="28"/>
          <w:lang w:val="uk-UA"/>
        </w:rPr>
        <w:t>а</w:t>
      </w:r>
      <w:r w:rsidR="006D1CDA" w:rsidRPr="00D94047">
        <w:rPr>
          <w:rFonts w:ascii="Times New Roman" w:hAnsi="Times New Roman"/>
          <w:spacing w:val="-6"/>
          <w:sz w:val="28"/>
          <w:szCs w:val="28"/>
          <w:lang w:val="uk-UA"/>
        </w:rPr>
        <w:t xml:space="preserve"> рівнем соціальної відповідальності та </w:t>
      </w:r>
      <w:r w:rsidR="006D1CDA">
        <w:rPr>
          <w:rFonts w:ascii="Times New Roman" w:hAnsi="Times New Roman"/>
          <w:spacing w:val="-6"/>
          <w:sz w:val="28"/>
          <w:szCs w:val="28"/>
          <w:lang w:val="uk-UA"/>
        </w:rPr>
        <w:t xml:space="preserve">сталості </w:t>
      </w:r>
      <w:r w:rsidR="006D1CDA" w:rsidRPr="00D94047">
        <w:rPr>
          <w:rFonts w:ascii="Times New Roman" w:hAnsi="Times New Roman"/>
          <w:spacing w:val="-6"/>
          <w:sz w:val="28"/>
          <w:szCs w:val="28"/>
          <w:lang w:val="uk-UA"/>
        </w:rPr>
        <w:t>розвитку (табл. 1</w:t>
      </w:r>
      <w:r w:rsidR="006D1CDA">
        <w:rPr>
          <w:rFonts w:ascii="Times New Roman" w:hAnsi="Times New Roman"/>
          <w:spacing w:val="-6"/>
          <w:sz w:val="28"/>
          <w:szCs w:val="28"/>
          <w:lang w:val="uk-UA"/>
        </w:rPr>
        <w:t>.1</w:t>
      </w:r>
      <w:r w:rsidR="006D1CDA" w:rsidRPr="00D94047">
        <w:rPr>
          <w:rFonts w:ascii="Times New Roman" w:hAnsi="Times New Roman"/>
          <w:spacing w:val="-6"/>
          <w:sz w:val="28"/>
          <w:szCs w:val="28"/>
          <w:lang w:val="uk-UA"/>
        </w:rPr>
        <w:t>).</w:t>
      </w:r>
    </w:p>
    <w:p w:rsidR="006D1CDA" w:rsidRPr="007D1D16" w:rsidRDefault="006D1CDA" w:rsidP="002E43A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7D1D16">
        <w:rPr>
          <w:rFonts w:ascii="Times New Roman" w:hAnsi="Times New Roman"/>
          <w:sz w:val="28"/>
          <w:szCs w:val="28"/>
          <w:lang w:val="uk-UA"/>
        </w:rPr>
        <w:t>Таблиця 1</w:t>
      </w:r>
      <w:r>
        <w:rPr>
          <w:rFonts w:ascii="Times New Roman" w:hAnsi="Times New Roman"/>
          <w:sz w:val="28"/>
          <w:szCs w:val="28"/>
          <w:lang w:val="uk-UA"/>
        </w:rPr>
        <w:t>.1</w:t>
      </w:r>
    </w:p>
    <w:p w:rsidR="006D1CDA" w:rsidRPr="00DB1029" w:rsidRDefault="006D1CDA" w:rsidP="002E43A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7D1D16">
        <w:rPr>
          <w:rFonts w:ascii="Times New Roman" w:hAnsi="Times New Roman"/>
          <w:b/>
          <w:sz w:val="28"/>
          <w:szCs w:val="28"/>
          <w:lang w:val="uk-UA"/>
        </w:rPr>
        <w:t>ТОП-10 соціально відповідальних країн світу, з найвищим рейти</w:t>
      </w:r>
      <w:r w:rsidRPr="007D1D16">
        <w:rPr>
          <w:rFonts w:ascii="Times New Roman" w:hAnsi="Times New Roman"/>
          <w:b/>
          <w:sz w:val="28"/>
          <w:szCs w:val="28"/>
          <w:lang w:val="uk-UA"/>
        </w:rPr>
        <w:t>н</w:t>
      </w:r>
      <w:r w:rsidRPr="007D1D16">
        <w:rPr>
          <w:rFonts w:ascii="Times New Roman" w:hAnsi="Times New Roman"/>
          <w:b/>
          <w:sz w:val="28"/>
          <w:szCs w:val="28"/>
          <w:lang w:val="uk-UA"/>
        </w:rPr>
        <w:t xml:space="preserve">гом репутації та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сталого </w:t>
      </w:r>
      <w:r w:rsidRPr="007D1D16">
        <w:rPr>
          <w:rFonts w:ascii="Times New Roman" w:hAnsi="Times New Roman"/>
          <w:b/>
          <w:sz w:val="28"/>
          <w:szCs w:val="28"/>
          <w:lang w:val="uk-UA"/>
        </w:rPr>
        <w:t>розвитку</w:t>
      </w:r>
    </w:p>
    <w:tbl>
      <w:tblPr>
        <w:tblW w:w="9712" w:type="dxa"/>
        <w:jc w:val="center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11"/>
        <w:gridCol w:w="1221"/>
        <w:gridCol w:w="1222"/>
        <w:gridCol w:w="1221"/>
        <w:gridCol w:w="1408"/>
        <w:gridCol w:w="1221"/>
        <w:gridCol w:w="1408"/>
      </w:tblGrid>
      <w:tr w:rsidR="006D1CDA" w:rsidRPr="008055B1" w:rsidTr="008111F1">
        <w:trPr>
          <w:jc w:val="center"/>
        </w:trPr>
        <w:tc>
          <w:tcPr>
            <w:tcW w:w="2011" w:type="dxa"/>
            <w:vMerge w:val="restart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b/>
                <w:kern w:val="24"/>
                <w:sz w:val="22"/>
                <w:szCs w:val="22"/>
                <w:lang w:val="uk-UA"/>
              </w:rPr>
              <w:t>Країна</w:t>
            </w:r>
          </w:p>
        </w:tc>
        <w:tc>
          <w:tcPr>
            <w:tcW w:w="7701" w:type="dxa"/>
            <w:gridSpan w:val="6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b/>
                <w:kern w:val="24"/>
                <w:sz w:val="22"/>
                <w:szCs w:val="22"/>
                <w:lang w:val="uk-UA"/>
              </w:rPr>
              <w:t>Рейтинг / рік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Merge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b/>
                <w:kern w:val="24"/>
                <w:sz w:val="22"/>
                <w:szCs w:val="22"/>
                <w:lang w:val="uk-UA"/>
              </w:rPr>
            </w:pP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b/>
                <w:kern w:val="24"/>
                <w:sz w:val="22"/>
                <w:szCs w:val="22"/>
                <w:lang w:val="uk-UA"/>
              </w:rPr>
            </w:pPr>
            <w:r w:rsidRPr="008055B1">
              <w:rPr>
                <w:b/>
                <w:kern w:val="24"/>
                <w:sz w:val="22"/>
                <w:szCs w:val="22"/>
                <w:lang w:val="uk-UA"/>
              </w:rPr>
              <w:t>2015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b/>
                <w:kern w:val="24"/>
                <w:sz w:val="22"/>
                <w:szCs w:val="22"/>
                <w:lang w:val="uk-UA"/>
              </w:rPr>
            </w:pPr>
            <w:r w:rsidRPr="008055B1">
              <w:rPr>
                <w:b/>
                <w:kern w:val="24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b/>
                <w:kern w:val="24"/>
                <w:sz w:val="22"/>
                <w:szCs w:val="22"/>
                <w:lang w:val="uk-UA"/>
              </w:rPr>
            </w:pPr>
            <w:r w:rsidRPr="008055B1">
              <w:rPr>
                <w:b/>
                <w:kern w:val="24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b/>
                <w:kern w:val="24"/>
                <w:sz w:val="22"/>
                <w:szCs w:val="22"/>
                <w:lang w:val="uk-UA"/>
              </w:rPr>
            </w:pPr>
            <w:r w:rsidRPr="008055B1">
              <w:rPr>
                <w:b/>
                <w:kern w:val="24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b/>
                <w:kern w:val="24"/>
                <w:sz w:val="22"/>
                <w:szCs w:val="22"/>
                <w:lang w:val="uk-UA"/>
              </w:rPr>
            </w:pPr>
            <w:r w:rsidRPr="008055B1">
              <w:rPr>
                <w:b/>
                <w:kern w:val="24"/>
                <w:sz w:val="22"/>
                <w:szCs w:val="22"/>
                <w:lang w:val="uk-UA"/>
              </w:rPr>
              <w:t>2011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b/>
                <w:kern w:val="24"/>
                <w:sz w:val="22"/>
                <w:szCs w:val="22"/>
                <w:lang w:val="uk-UA"/>
              </w:rPr>
            </w:pPr>
            <w:r w:rsidRPr="008055B1">
              <w:rPr>
                <w:b/>
                <w:kern w:val="24"/>
                <w:sz w:val="22"/>
                <w:szCs w:val="22"/>
                <w:lang w:val="uk-UA"/>
              </w:rPr>
              <w:t>2010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</w:rPr>
            </w:pPr>
            <w:hyperlink r:id="rId10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Канада</w:t>
              </w:r>
            </w:hyperlink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1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1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1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2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hyperlink r:id="rId11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Норвегія</w:t>
              </w:r>
            </w:hyperlink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5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5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6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5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hyperlink r:id="rId12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Швеція</w:t>
              </w:r>
            </w:hyperlink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2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3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2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1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hyperlink r:id="rId13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Швейцарія</w:t>
              </w:r>
            </w:hyperlink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3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4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4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4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hyperlink r:id="rId14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Австралія</w:t>
              </w:r>
            </w:hyperlink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4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2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3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3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hyperlink r:id="rId15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Фінляндія</w:t>
              </w:r>
            </w:hyperlink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8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7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8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6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hyperlink r:id="rId16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Нова Зеландія</w:t>
              </w:r>
            </w:hyperlink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7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6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5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-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hyperlink r:id="rId17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Данія</w:t>
              </w:r>
            </w:hyperlink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6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8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7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7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hyperlink r:id="rId18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Нідерланд</w:t>
              </w:r>
            </w:hyperlink>
            <w:r w:rsidR="006D1CDA" w:rsidRPr="008055B1">
              <w:rPr>
                <w:sz w:val="22"/>
                <w:szCs w:val="22"/>
                <w:lang w:val="uk-UA"/>
              </w:rPr>
              <w:t>и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9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10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10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9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 xml:space="preserve">Бельгія 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kern w:val="24"/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-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kern w:val="24"/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-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kern w:val="24"/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-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10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hyperlink r:id="rId19" w:history="1">
              <w:r w:rsidR="006D1CDA" w:rsidRPr="008055B1">
                <w:rPr>
                  <w:rStyle w:val="ad"/>
                  <w:bCs/>
                  <w:color w:val="auto"/>
                  <w:kern w:val="24"/>
                  <w:sz w:val="22"/>
                  <w:szCs w:val="22"/>
                  <w:u w:val="none"/>
                  <w:lang w:val="uk-UA"/>
                </w:rPr>
                <w:t>Австрія</w:t>
              </w:r>
            </w:hyperlink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10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9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kern w:val="24"/>
                <w:sz w:val="22"/>
                <w:szCs w:val="22"/>
                <w:lang w:val="uk-UA"/>
              </w:rPr>
              <w:t>9</w: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8</w:t>
            </w:r>
          </w:p>
        </w:tc>
      </w:tr>
      <w:tr w:rsidR="006D1CDA" w:rsidRPr="008055B1" w:rsidTr="008111F1">
        <w:trPr>
          <w:jc w:val="center"/>
        </w:trPr>
        <w:tc>
          <w:tcPr>
            <w:tcW w:w="201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 xml:space="preserve">Германія </w:t>
            </w: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22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8055B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21" w:type="dxa"/>
            <w:vAlign w:val="center"/>
          </w:tcPr>
          <w:p w:rsidR="006D1CDA" w:rsidRPr="008055B1" w:rsidRDefault="00493C69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kern w:val="24"/>
                <w:sz w:val="22"/>
                <w:szCs w:val="22"/>
                <w:lang w:val="uk-UA"/>
              </w:rPr>
            </w:pPr>
            <w:r>
              <w:rPr>
                <w:noProof/>
                <w:kern w:val="24"/>
                <w:sz w:val="22"/>
                <w:szCs w:val="22"/>
              </w:rPr>
              <w:pict>
                <v:shape id="_x0000_s1044" type="#_x0000_t202" style="position:absolute;left:0;text-align:left;margin-left:-3.5pt;margin-top:23.1pt;width:32.25pt;height:24pt;z-index:251666432;mso-position-horizontal-relative:text;mso-position-vertical-relative:text" stroked="f">
                  <v:textbox>
                    <w:txbxContent>
                      <w:p w:rsidR="008614DA" w:rsidRPr="003020AF" w:rsidRDefault="008614DA" w:rsidP="003020AF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kern w:val="24"/>
                <w:sz w:val="22"/>
                <w:szCs w:val="22"/>
                <w:lang w:val="uk-UA"/>
              </w:rPr>
            </w:pPr>
          </w:p>
        </w:tc>
        <w:tc>
          <w:tcPr>
            <w:tcW w:w="1221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kern w:val="24"/>
                <w:sz w:val="22"/>
                <w:szCs w:val="22"/>
                <w:lang w:val="uk-UA"/>
              </w:rPr>
            </w:pPr>
          </w:p>
        </w:tc>
        <w:tc>
          <w:tcPr>
            <w:tcW w:w="1408" w:type="dxa"/>
            <w:vAlign w:val="center"/>
          </w:tcPr>
          <w:p w:rsidR="006D1CDA" w:rsidRPr="008055B1" w:rsidRDefault="006D1CDA" w:rsidP="008111F1">
            <w:pPr>
              <w:pStyle w:val="ae"/>
              <w:spacing w:before="0" w:beforeAutospacing="0" w:after="0" w:afterAutospacing="0" w:line="240" w:lineRule="exact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D1CDA" w:rsidRPr="007D1D16" w:rsidRDefault="006D1CDA" w:rsidP="00CD2C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055B1">
        <w:rPr>
          <w:rFonts w:ascii="Times New Roman" w:hAnsi="Times New Roman"/>
          <w:sz w:val="28"/>
          <w:szCs w:val="28"/>
          <w:lang w:val="uk-UA"/>
        </w:rPr>
        <w:lastRenderedPageBreak/>
        <w:t>За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результатами </w:t>
      </w:r>
      <w:r>
        <w:rPr>
          <w:rFonts w:ascii="Times New Roman" w:hAnsi="Times New Roman"/>
          <w:sz w:val="28"/>
          <w:szCs w:val="28"/>
          <w:lang w:val="uk-UA"/>
        </w:rPr>
        <w:t xml:space="preserve">проведеного </w:t>
      </w:r>
      <w:r w:rsidRPr="007D1D16">
        <w:rPr>
          <w:rFonts w:ascii="Times New Roman" w:hAnsi="Times New Roman"/>
          <w:sz w:val="28"/>
          <w:szCs w:val="28"/>
          <w:lang w:val="uk-UA"/>
        </w:rPr>
        <w:t>дослідження</w:t>
      </w:r>
      <w:r>
        <w:rPr>
          <w:rFonts w:ascii="Times New Roman" w:hAnsi="Times New Roman"/>
          <w:sz w:val="28"/>
          <w:szCs w:val="28"/>
          <w:lang w:val="uk-UA"/>
        </w:rPr>
        <w:t>,у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році найбільш розв</w:t>
      </w:r>
      <w:r w:rsidRPr="007D1D16">
        <w:rPr>
          <w:rFonts w:ascii="Times New Roman" w:hAnsi="Times New Roman"/>
          <w:sz w:val="28"/>
          <w:szCs w:val="28"/>
          <w:lang w:val="uk-UA"/>
        </w:rPr>
        <w:t>и</w:t>
      </w:r>
      <w:r w:rsidRPr="007D1D16">
        <w:rPr>
          <w:rFonts w:ascii="Times New Roman" w:hAnsi="Times New Roman"/>
          <w:sz w:val="28"/>
          <w:szCs w:val="28"/>
          <w:lang w:val="uk-UA"/>
        </w:rPr>
        <w:t>неною і соціально відповідальною країною визнана Канада. Вона є абсолю</w:t>
      </w:r>
      <w:r w:rsidRPr="007D1D16">
        <w:rPr>
          <w:rFonts w:ascii="Times New Roman" w:hAnsi="Times New Roman"/>
          <w:sz w:val="28"/>
          <w:szCs w:val="28"/>
          <w:lang w:val="uk-UA"/>
        </w:rPr>
        <w:t>т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ним лідером за критеріями ефективності </w:t>
      </w:r>
      <w:r>
        <w:rPr>
          <w:rFonts w:ascii="Times New Roman" w:hAnsi="Times New Roman"/>
          <w:sz w:val="28"/>
          <w:szCs w:val="28"/>
          <w:lang w:val="uk-UA"/>
        </w:rPr>
        <w:t xml:space="preserve">діяльності </w:t>
      </w:r>
      <w:r w:rsidRPr="007D1D16">
        <w:rPr>
          <w:rFonts w:ascii="Times New Roman" w:hAnsi="Times New Roman"/>
          <w:sz w:val="28"/>
          <w:szCs w:val="28"/>
          <w:lang w:val="uk-UA"/>
        </w:rPr>
        <w:t>уряду, розвитку економ</w:t>
      </w:r>
      <w:r w:rsidRPr="007D1D16">
        <w:rPr>
          <w:rFonts w:ascii="Times New Roman" w:hAnsi="Times New Roman"/>
          <w:sz w:val="28"/>
          <w:szCs w:val="28"/>
          <w:lang w:val="uk-UA"/>
        </w:rPr>
        <w:t>і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ки і привабливістю навколишнього середовища. </w:t>
      </w:r>
      <w:r>
        <w:rPr>
          <w:rFonts w:ascii="Times New Roman" w:hAnsi="Times New Roman"/>
          <w:sz w:val="28"/>
          <w:szCs w:val="28"/>
          <w:lang w:val="uk-UA"/>
        </w:rPr>
        <w:t>Наступні місця з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а Канадою </w:t>
      </w:r>
      <w:r>
        <w:rPr>
          <w:rFonts w:ascii="Times New Roman" w:hAnsi="Times New Roman"/>
          <w:sz w:val="28"/>
          <w:szCs w:val="28"/>
          <w:lang w:val="uk-UA"/>
        </w:rPr>
        <w:t xml:space="preserve">посідають Норвегія, </w:t>
      </w:r>
      <w:r w:rsidRPr="007D1D16">
        <w:rPr>
          <w:rFonts w:ascii="Times New Roman" w:hAnsi="Times New Roman"/>
          <w:sz w:val="28"/>
          <w:szCs w:val="28"/>
          <w:lang w:val="uk-UA"/>
        </w:rPr>
        <w:t>Швеція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Швейцарія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7D1D16">
        <w:rPr>
          <w:rFonts w:ascii="Times New Roman" w:hAnsi="Times New Roman"/>
          <w:sz w:val="28"/>
          <w:szCs w:val="28"/>
          <w:lang w:val="uk-UA"/>
        </w:rPr>
        <w:t>Австралія</w:t>
      </w:r>
      <w:r>
        <w:rPr>
          <w:rFonts w:ascii="Times New Roman" w:hAnsi="Times New Roman"/>
          <w:sz w:val="28"/>
          <w:szCs w:val="28"/>
          <w:lang w:val="uk-UA"/>
        </w:rPr>
        <w:t>. Ц</w:t>
      </w:r>
      <w:r w:rsidRPr="007D1D16">
        <w:rPr>
          <w:rFonts w:ascii="Times New Roman" w:hAnsi="Times New Roman"/>
          <w:sz w:val="28"/>
          <w:szCs w:val="28"/>
          <w:lang w:val="uk-UA"/>
        </w:rPr>
        <w:t>і країни відомі своєю стабільністю, сильною демократією, високим ВВП та розвиненою соціал</w:t>
      </w:r>
      <w:r w:rsidRPr="007D1D16">
        <w:rPr>
          <w:rFonts w:ascii="Times New Roman" w:hAnsi="Times New Roman"/>
          <w:sz w:val="28"/>
          <w:szCs w:val="28"/>
          <w:lang w:val="uk-UA"/>
        </w:rPr>
        <w:t>ь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ною інфраструктурою. У період з 2009 року Україна підняла свій рейтинг </w:t>
      </w: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ціальної відповідальності та репутації </w:t>
      </w:r>
      <w:r w:rsidRPr="007D1D16">
        <w:rPr>
          <w:rFonts w:ascii="Times New Roman" w:hAnsi="Times New Roman"/>
          <w:sz w:val="28"/>
          <w:szCs w:val="28"/>
          <w:lang w:val="uk-UA"/>
        </w:rPr>
        <w:t>на 10 пунктів.</w:t>
      </w:r>
      <w:r>
        <w:rPr>
          <w:rFonts w:ascii="Times New Roman" w:hAnsi="Times New Roman"/>
          <w:sz w:val="28"/>
          <w:szCs w:val="28"/>
          <w:lang w:val="uk-UA"/>
        </w:rPr>
        <w:t xml:space="preserve"> Так, у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2013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2012 р</w:t>
      </w:r>
      <w:r w:rsidRPr="007D1D16">
        <w:rPr>
          <w:rFonts w:ascii="Times New Roman" w:hAnsi="Times New Roman"/>
          <w:sz w:val="28"/>
          <w:szCs w:val="28"/>
          <w:lang w:val="uk-UA"/>
        </w:rPr>
        <w:t>о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ках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Україна 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займала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рейтингу 42 місце з 50, хоча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2011 – мала 40 позицію. </w:t>
      </w:r>
      <w:r>
        <w:rPr>
          <w:rFonts w:ascii="Times New Roman" w:hAnsi="Times New Roman"/>
          <w:sz w:val="28"/>
          <w:szCs w:val="28"/>
          <w:lang w:val="uk-UA"/>
        </w:rPr>
        <w:t>У 2014 та 2015 році рейтинг України не розраховувався.</w:t>
      </w:r>
    </w:p>
    <w:p w:rsidR="006D1CDA" w:rsidRPr="007D1D16" w:rsidRDefault="006D1CDA" w:rsidP="00CD2C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D1D16">
        <w:rPr>
          <w:rFonts w:ascii="Times New Roman" w:hAnsi="Times New Roman"/>
          <w:sz w:val="28"/>
          <w:szCs w:val="28"/>
          <w:lang w:val="uk-UA"/>
        </w:rPr>
        <w:t>Аналіз даних сталого соціально-економічного розвитку країн Східної Європи, заснований на дослідження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7D1D16">
        <w:rPr>
          <w:rFonts w:ascii="Times New Roman" w:hAnsi="Times New Roman"/>
          <w:sz w:val="28"/>
          <w:szCs w:val="28"/>
          <w:lang w:val="uk-UA"/>
        </w:rPr>
        <w:t>, проведених World Data Center for Geoinformatics and Sustainable Development (</w:t>
      </w:r>
      <w:r>
        <w:rPr>
          <w:rFonts w:ascii="Times New Roman" w:hAnsi="Times New Roman"/>
          <w:sz w:val="28"/>
          <w:szCs w:val="28"/>
          <w:lang w:val="uk-UA"/>
        </w:rPr>
        <w:t>табл. 1.</w:t>
      </w:r>
      <w:r w:rsidRPr="007D1D16">
        <w:rPr>
          <w:rFonts w:ascii="Times New Roman" w:hAnsi="Times New Roman"/>
          <w:sz w:val="28"/>
          <w:szCs w:val="28"/>
          <w:lang w:val="uk-UA"/>
        </w:rPr>
        <w:t>2), дав можливість вияв</w:t>
      </w:r>
      <w:r w:rsidRPr="007D1D16">
        <w:rPr>
          <w:rFonts w:ascii="Times New Roman" w:hAnsi="Times New Roman"/>
          <w:sz w:val="28"/>
          <w:szCs w:val="28"/>
          <w:lang w:val="uk-UA"/>
        </w:rPr>
        <w:t>и</w:t>
      </w:r>
      <w:r w:rsidRPr="007D1D16">
        <w:rPr>
          <w:rFonts w:ascii="Times New Roman" w:hAnsi="Times New Roman"/>
          <w:sz w:val="28"/>
          <w:szCs w:val="28"/>
          <w:lang w:val="uk-UA"/>
        </w:rPr>
        <w:t>ти, що не дивлячись на зростання індексу розвитку, Україна відстає від своїх сусідів, що акцентує увагу на необхідності впровадження сучасних механі</w:t>
      </w:r>
      <w:r w:rsidRPr="007D1D16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мів у</w:t>
      </w:r>
      <w:r w:rsidRPr="007D1D16">
        <w:rPr>
          <w:rFonts w:ascii="Times New Roman" w:hAnsi="Times New Roman"/>
          <w:sz w:val="28"/>
          <w:szCs w:val="28"/>
          <w:lang w:val="uk-UA"/>
        </w:rPr>
        <w:t>правління розвитком як на макро- так і на мікроекономі</w:t>
      </w:r>
      <w:r>
        <w:rPr>
          <w:rFonts w:ascii="Times New Roman" w:hAnsi="Times New Roman"/>
          <w:sz w:val="28"/>
          <w:szCs w:val="28"/>
          <w:lang w:val="uk-UA"/>
        </w:rPr>
        <w:t xml:space="preserve">чному </w:t>
      </w:r>
      <w:r w:rsidRPr="007D1D16">
        <w:rPr>
          <w:rFonts w:ascii="Times New Roman" w:hAnsi="Times New Roman"/>
          <w:sz w:val="28"/>
          <w:szCs w:val="28"/>
          <w:lang w:val="uk-UA"/>
        </w:rPr>
        <w:t>рівні.</w:t>
      </w:r>
    </w:p>
    <w:p w:rsidR="006D1CDA" w:rsidRPr="007D1D16" w:rsidRDefault="006D1CDA" w:rsidP="008111F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7D1D16">
        <w:rPr>
          <w:rFonts w:ascii="Times New Roman" w:hAnsi="Times New Roman"/>
          <w:sz w:val="28"/>
          <w:szCs w:val="28"/>
          <w:lang w:val="uk-UA"/>
        </w:rPr>
        <w:t xml:space="preserve">Таблиця 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7D1D16">
        <w:rPr>
          <w:rFonts w:ascii="Times New Roman" w:hAnsi="Times New Roman"/>
          <w:sz w:val="28"/>
          <w:szCs w:val="28"/>
          <w:lang w:val="uk-UA"/>
        </w:rPr>
        <w:t>2</w:t>
      </w:r>
    </w:p>
    <w:p w:rsidR="006D1CDA" w:rsidRPr="007D1D16" w:rsidRDefault="006D1CDA" w:rsidP="0054642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D1D16">
        <w:rPr>
          <w:rFonts w:ascii="Times New Roman" w:hAnsi="Times New Roman"/>
          <w:b/>
          <w:sz w:val="28"/>
          <w:szCs w:val="28"/>
          <w:lang w:val="uk-UA"/>
        </w:rPr>
        <w:t>Оцінка індексу сталого розвитку країн Східної Європи</w:t>
      </w:r>
    </w:p>
    <w:tbl>
      <w:tblPr>
        <w:tblW w:w="9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15"/>
        <w:gridCol w:w="786"/>
        <w:gridCol w:w="787"/>
        <w:gridCol w:w="787"/>
        <w:gridCol w:w="789"/>
        <w:gridCol w:w="851"/>
        <w:gridCol w:w="850"/>
        <w:gridCol w:w="851"/>
        <w:gridCol w:w="850"/>
        <w:gridCol w:w="851"/>
        <w:gridCol w:w="1141"/>
      </w:tblGrid>
      <w:tr w:rsidR="006D1CDA" w:rsidRPr="008656DC" w:rsidTr="008111F1">
        <w:trPr>
          <w:jc w:val="center"/>
        </w:trPr>
        <w:tc>
          <w:tcPr>
            <w:tcW w:w="1215" w:type="dxa"/>
            <w:vMerge w:val="restart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Країна</w:t>
            </w:r>
          </w:p>
        </w:tc>
        <w:tc>
          <w:tcPr>
            <w:tcW w:w="8543" w:type="dxa"/>
            <w:gridSpan w:val="10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Індекс сталого розвитку</w:t>
            </w:r>
          </w:p>
        </w:tc>
      </w:tr>
      <w:tr w:rsidR="006D1CDA" w:rsidRPr="002E43A0" w:rsidTr="002E43A0">
        <w:trPr>
          <w:cantSplit/>
          <w:trHeight w:val="962"/>
          <w:jc w:val="center"/>
        </w:trPr>
        <w:tc>
          <w:tcPr>
            <w:tcW w:w="1215" w:type="dxa"/>
            <w:vMerge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86" w:type="dxa"/>
            <w:vAlign w:val="center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2013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2012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2011</w:t>
            </w:r>
          </w:p>
        </w:tc>
        <w:tc>
          <w:tcPr>
            <w:tcW w:w="789" w:type="dxa"/>
            <w:vAlign w:val="center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2010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2009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2008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2007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2006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2005</w:t>
            </w:r>
          </w:p>
        </w:tc>
        <w:tc>
          <w:tcPr>
            <w:tcW w:w="1141" w:type="dxa"/>
            <w:tcBorders>
              <w:left w:val="single" w:sz="8" w:space="0" w:color="auto"/>
            </w:tcBorders>
            <w:textDirection w:val="btL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2E43A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Рейтинг 2013 (серед  приведених країн)</w:t>
            </w:r>
          </w:p>
        </w:tc>
      </w:tr>
      <w:tr w:rsidR="006D1CDA" w:rsidRPr="008656DC" w:rsidTr="008111F1">
        <w:trPr>
          <w:jc w:val="center"/>
        </w:trPr>
        <w:tc>
          <w:tcPr>
            <w:tcW w:w="1215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Україна</w:t>
            </w:r>
          </w:p>
        </w:tc>
        <w:tc>
          <w:tcPr>
            <w:tcW w:w="786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1,883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1,836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1,836</w:t>
            </w:r>
          </w:p>
        </w:tc>
        <w:tc>
          <w:tcPr>
            <w:tcW w:w="789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1,866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1,894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1,913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1,808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0,668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0,485</w:t>
            </w:r>
          </w:p>
        </w:tc>
        <w:tc>
          <w:tcPr>
            <w:tcW w:w="1141" w:type="dxa"/>
            <w:tcBorders>
              <w:lef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56DC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D1CDA" w:rsidRPr="008656DC" w:rsidTr="008111F1">
        <w:trPr>
          <w:jc w:val="center"/>
        </w:trPr>
        <w:tc>
          <w:tcPr>
            <w:tcW w:w="1215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Росія</w:t>
            </w:r>
          </w:p>
        </w:tc>
        <w:tc>
          <w:tcPr>
            <w:tcW w:w="786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1,990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2,096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2,096</w:t>
            </w:r>
          </w:p>
        </w:tc>
        <w:tc>
          <w:tcPr>
            <w:tcW w:w="789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2,093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2,202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2,220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2,142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0,693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0,515</w:t>
            </w:r>
          </w:p>
        </w:tc>
        <w:tc>
          <w:tcPr>
            <w:tcW w:w="1141" w:type="dxa"/>
            <w:tcBorders>
              <w:lef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56DC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D1CDA" w:rsidRPr="008656DC" w:rsidTr="008111F1">
        <w:trPr>
          <w:jc w:val="center"/>
        </w:trPr>
        <w:tc>
          <w:tcPr>
            <w:tcW w:w="1215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Польща</w:t>
            </w:r>
          </w:p>
        </w:tc>
        <w:tc>
          <w:tcPr>
            <w:tcW w:w="786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2,476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2,282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2,282</w:t>
            </w:r>
          </w:p>
        </w:tc>
        <w:tc>
          <w:tcPr>
            <w:tcW w:w="789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2,235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2,248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2,191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1,949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0,728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0,559</w:t>
            </w:r>
          </w:p>
        </w:tc>
        <w:tc>
          <w:tcPr>
            <w:tcW w:w="1141" w:type="dxa"/>
            <w:tcBorders>
              <w:lef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56D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6D1CDA" w:rsidRPr="008656DC" w:rsidTr="008111F1">
        <w:trPr>
          <w:jc w:val="center"/>
        </w:trPr>
        <w:tc>
          <w:tcPr>
            <w:tcW w:w="1215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Румунія</w:t>
            </w:r>
          </w:p>
        </w:tc>
        <w:tc>
          <w:tcPr>
            <w:tcW w:w="786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2,082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2,149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2,149</w:t>
            </w:r>
          </w:p>
        </w:tc>
        <w:tc>
          <w:tcPr>
            <w:tcW w:w="789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2,091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1,960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1,950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1,941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0,519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0,519</w:t>
            </w:r>
          </w:p>
        </w:tc>
        <w:tc>
          <w:tcPr>
            <w:tcW w:w="1141" w:type="dxa"/>
            <w:tcBorders>
              <w:lef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56DC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6D1CDA" w:rsidRPr="008656DC" w:rsidTr="008111F1">
        <w:trPr>
          <w:jc w:val="center"/>
        </w:trPr>
        <w:tc>
          <w:tcPr>
            <w:tcW w:w="1215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  <w:t>Словаччина</w:t>
            </w:r>
          </w:p>
        </w:tc>
        <w:tc>
          <w:tcPr>
            <w:tcW w:w="786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2,495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2,396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2,396</w:t>
            </w:r>
          </w:p>
        </w:tc>
        <w:tc>
          <w:tcPr>
            <w:tcW w:w="789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2,408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2,395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2,447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2,324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0,755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0,601</w:t>
            </w:r>
          </w:p>
        </w:tc>
        <w:tc>
          <w:tcPr>
            <w:tcW w:w="1141" w:type="dxa"/>
            <w:tcBorders>
              <w:lef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56D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6D1CDA" w:rsidRPr="008656DC" w:rsidTr="008111F1">
        <w:trPr>
          <w:jc w:val="center"/>
        </w:trPr>
        <w:tc>
          <w:tcPr>
            <w:tcW w:w="1215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Угорщина</w:t>
            </w:r>
          </w:p>
        </w:tc>
        <w:tc>
          <w:tcPr>
            <w:tcW w:w="786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2,400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2,350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2,350</w:t>
            </w:r>
          </w:p>
        </w:tc>
        <w:tc>
          <w:tcPr>
            <w:tcW w:w="789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2,327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2,324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2,331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2,240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0,749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0,601</w:t>
            </w:r>
          </w:p>
        </w:tc>
        <w:tc>
          <w:tcPr>
            <w:tcW w:w="1141" w:type="dxa"/>
            <w:tcBorders>
              <w:lef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56DC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6D1CDA" w:rsidRPr="008656DC" w:rsidTr="008111F1">
        <w:trPr>
          <w:jc w:val="center"/>
        </w:trPr>
        <w:tc>
          <w:tcPr>
            <w:tcW w:w="1215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Болгарія</w:t>
            </w:r>
          </w:p>
        </w:tc>
        <w:tc>
          <w:tcPr>
            <w:tcW w:w="786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2,222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2,101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2,101</w:t>
            </w:r>
          </w:p>
        </w:tc>
        <w:tc>
          <w:tcPr>
            <w:tcW w:w="789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2,129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2,162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2,150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2,112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0,696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0,549</w:t>
            </w:r>
          </w:p>
        </w:tc>
        <w:tc>
          <w:tcPr>
            <w:tcW w:w="1141" w:type="dxa"/>
            <w:tcBorders>
              <w:lef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56DC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6D1CDA" w:rsidRPr="008656DC" w:rsidTr="008111F1">
        <w:trPr>
          <w:jc w:val="center"/>
        </w:trPr>
        <w:tc>
          <w:tcPr>
            <w:tcW w:w="1215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Чехія</w:t>
            </w:r>
          </w:p>
        </w:tc>
        <w:tc>
          <w:tcPr>
            <w:tcW w:w="786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2,573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2,425</w:t>
            </w:r>
          </w:p>
        </w:tc>
        <w:tc>
          <w:tcPr>
            <w:tcW w:w="787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2,425</w:t>
            </w:r>
          </w:p>
        </w:tc>
        <w:tc>
          <w:tcPr>
            <w:tcW w:w="789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2,425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2,305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2,333</w:t>
            </w:r>
          </w:p>
        </w:tc>
        <w:tc>
          <w:tcPr>
            <w:tcW w:w="851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2,206</w:t>
            </w:r>
          </w:p>
        </w:tc>
        <w:tc>
          <w:tcPr>
            <w:tcW w:w="850" w:type="dxa"/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0,795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656DC">
              <w:rPr>
                <w:rFonts w:ascii="Times New Roman" w:hAnsi="Times New Roman"/>
                <w:sz w:val="20"/>
                <w:szCs w:val="20"/>
                <w:lang w:val="uk-UA"/>
              </w:rPr>
              <w:t>0,602</w:t>
            </w:r>
          </w:p>
        </w:tc>
        <w:tc>
          <w:tcPr>
            <w:tcW w:w="1141" w:type="dxa"/>
            <w:tcBorders>
              <w:left w:val="single" w:sz="8" w:space="0" w:color="auto"/>
            </w:tcBorders>
            <w:vAlign w:val="center"/>
          </w:tcPr>
          <w:p w:rsidR="006D1CDA" w:rsidRPr="008656DC" w:rsidRDefault="006D1CDA" w:rsidP="008111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56D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F233A8" w:rsidRDefault="00F233A8" w:rsidP="002E43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5BE9" w:rsidRDefault="00493C69" w:rsidP="002E43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5" type="#_x0000_t202" style="position:absolute;left:0;text-align:left;margin-left:220.2pt;margin-top:65.3pt;width:32.25pt;height:24pt;z-index:251667456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xbxContent>
            </v:textbox>
          </v:shape>
        </w:pict>
      </w:r>
      <w:r w:rsidR="006D1CDA" w:rsidRPr="007D1D16">
        <w:rPr>
          <w:rFonts w:ascii="Times New Roman" w:hAnsi="Times New Roman"/>
          <w:sz w:val="28"/>
          <w:szCs w:val="28"/>
          <w:lang w:val="uk-UA"/>
        </w:rPr>
        <w:t>З метою визначення світових лідерів в галузі сталого розвитку та соц</w:t>
      </w:r>
      <w:r w:rsidR="006D1CDA" w:rsidRPr="007D1D16">
        <w:rPr>
          <w:rFonts w:ascii="Times New Roman" w:hAnsi="Times New Roman"/>
          <w:sz w:val="28"/>
          <w:szCs w:val="28"/>
          <w:lang w:val="uk-UA"/>
        </w:rPr>
        <w:t>і</w:t>
      </w:r>
      <w:r w:rsidR="006D1CDA" w:rsidRPr="007D1D16">
        <w:rPr>
          <w:rFonts w:ascii="Times New Roman" w:hAnsi="Times New Roman"/>
          <w:sz w:val="28"/>
          <w:szCs w:val="28"/>
          <w:lang w:val="uk-UA"/>
        </w:rPr>
        <w:t xml:space="preserve">альної відповідальності бізнесу, нами проаналізовані результати досліджень Інституту репутації, в якому брали участь </w:t>
      </w:r>
      <w:r w:rsidR="006D1CDA">
        <w:rPr>
          <w:rFonts w:ascii="Times New Roman" w:hAnsi="Times New Roman"/>
          <w:sz w:val="28"/>
          <w:szCs w:val="28"/>
          <w:lang w:val="uk-UA"/>
        </w:rPr>
        <w:t xml:space="preserve">понад </w:t>
      </w:r>
      <w:r w:rsidR="006D1CDA" w:rsidRPr="007D1D16">
        <w:rPr>
          <w:rFonts w:ascii="Times New Roman" w:hAnsi="Times New Roman"/>
          <w:sz w:val="28"/>
          <w:szCs w:val="28"/>
          <w:lang w:val="uk-UA"/>
        </w:rPr>
        <w:t xml:space="preserve">55 тисяч респондентів. </w:t>
      </w:r>
    </w:p>
    <w:p w:rsidR="006D1CDA" w:rsidRPr="00026501" w:rsidRDefault="006D1CDA" w:rsidP="002E43A0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7D1D16">
        <w:rPr>
          <w:rFonts w:ascii="Times New Roman" w:hAnsi="Times New Roman"/>
          <w:sz w:val="28"/>
          <w:szCs w:val="28"/>
          <w:lang w:val="uk-UA"/>
        </w:rPr>
        <w:lastRenderedPageBreak/>
        <w:t>Десятка компаній-лідерів протягом 2010-201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рр. наведена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 таблиці 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7D1D16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 xml:space="preserve">Жодна фармацевтична компанія світу у 2015 році в ТОП-10 не ввійшла. </w:t>
      </w:r>
      <w:r w:rsidRPr="00F233A8">
        <w:rPr>
          <w:rFonts w:ascii="Times New Roman" w:hAnsi="Times New Roman"/>
          <w:spacing w:val="-2"/>
          <w:sz w:val="28"/>
          <w:szCs w:val="28"/>
          <w:lang w:val="uk-UA"/>
        </w:rPr>
        <w:t xml:space="preserve">Тобто, згідно </w:t>
      </w:r>
      <w:r w:rsidR="00F35BE9" w:rsidRPr="00F233A8">
        <w:rPr>
          <w:rFonts w:ascii="Times New Roman" w:hAnsi="Times New Roman"/>
          <w:spacing w:val="-2"/>
          <w:sz w:val="28"/>
          <w:szCs w:val="28"/>
          <w:lang w:val="uk-UA"/>
        </w:rPr>
        <w:t>з</w:t>
      </w:r>
      <w:r w:rsidRPr="00F233A8">
        <w:rPr>
          <w:rFonts w:ascii="Times New Roman" w:hAnsi="Times New Roman"/>
          <w:spacing w:val="-2"/>
          <w:sz w:val="28"/>
          <w:szCs w:val="28"/>
          <w:lang w:val="uk-UA"/>
        </w:rPr>
        <w:t xml:space="preserve"> рейтинг</w:t>
      </w:r>
      <w:r w:rsidR="00F35BE9" w:rsidRPr="00F233A8">
        <w:rPr>
          <w:rFonts w:ascii="Times New Roman" w:hAnsi="Times New Roman"/>
          <w:spacing w:val="-2"/>
          <w:sz w:val="28"/>
          <w:szCs w:val="28"/>
          <w:lang w:val="uk-UA"/>
        </w:rPr>
        <w:t>ом</w:t>
      </w:r>
      <w:r w:rsidRPr="00F233A8">
        <w:rPr>
          <w:rFonts w:ascii="Times New Roman" w:hAnsi="Times New Roman"/>
          <w:spacing w:val="-2"/>
          <w:sz w:val="28"/>
          <w:szCs w:val="28"/>
          <w:lang w:val="uk-UA"/>
        </w:rPr>
        <w:t xml:space="preserve"> із соціальної відповідальності,</w:t>
      </w:r>
      <w:r w:rsidR="00F233A8" w:rsidRPr="00F233A8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F233A8">
        <w:rPr>
          <w:rFonts w:ascii="Times New Roman" w:hAnsi="Times New Roman"/>
          <w:spacing w:val="-2"/>
          <w:sz w:val="28"/>
          <w:szCs w:val="28"/>
          <w:lang w:val="uk-UA"/>
        </w:rPr>
        <w:t>можна сказати,</w:t>
      </w:r>
      <w:r w:rsidR="00F233A8" w:rsidRPr="00F233A8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F233A8">
        <w:rPr>
          <w:rFonts w:ascii="Times New Roman" w:hAnsi="Times New Roman"/>
          <w:spacing w:val="-2"/>
          <w:sz w:val="28"/>
          <w:szCs w:val="28"/>
          <w:lang w:val="uk-UA"/>
        </w:rPr>
        <w:t xml:space="preserve">що </w:t>
      </w:r>
      <w:r w:rsidR="00F35BE9" w:rsidRPr="00F233A8">
        <w:rPr>
          <w:rFonts w:ascii="Times New Roman" w:hAnsi="Times New Roman"/>
          <w:spacing w:val="-2"/>
          <w:sz w:val="28"/>
          <w:szCs w:val="28"/>
          <w:lang w:val="uk-UA"/>
        </w:rPr>
        <w:t>попри</w:t>
      </w:r>
      <w:r w:rsidRPr="00F233A8">
        <w:rPr>
          <w:rFonts w:ascii="Times New Roman" w:hAnsi="Times New Roman"/>
          <w:spacing w:val="-2"/>
          <w:sz w:val="28"/>
          <w:szCs w:val="28"/>
          <w:lang w:val="uk-UA"/>
        </w:rPr>
        <w:t xml:space="preserve"> те, що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 xml:space="preserve"> фармація є беззаперечно соціально відповідальною галуззю, св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і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товими лідерами у сфері соціально відповідально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ї діяльності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 xml:space="preserve"> є рекламні ко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м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панії, компанії, які розробляють програмне забезпечення, компані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ї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 xml:space="preserve"> автомоб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і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 xml:space="preserve">лебудівної промисловості та компанії індустрії розваг. У ТОП-100 соціально відповідальних компаній світу 2015 року увійшли такі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ФП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, як Eli Lilly (67 мі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с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це), Novo Nordisk (73 місце), Bayer (77 місце), Roche (92 місце), Sanofi (93 мі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с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 xml:space="preserve">це), </w:t>
      </w:r>
      <w:r w:rsidRPr="00026501">
        <w:rPr>
          <w:rFonts w:ascii="Times New Roman" w:hAnsi="Times New Roman"/>
          <w:spacing w:val="-2"/>
          <w:sz w:val="28"/>
          <w:szCs w:val="28"/>
        </w:rPr>
        <w:t>MSD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 xml:space="preserve"> (</w:t>
      </w:r>
      <w:r w:rsidRPr="00026501">
        <w:rPr>
          <w:rFonts w:ascii="Times New Roman" w:hAnsi="Times New Roman"/>
          <w:spacing w:val="-2"/>
          <w:sz w:val="28"/>
          <w:szCs w:val="28"/>
        </w:rPr>
        <w:t>MerckSharp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&amp;</w:t>
      </w:r>
      <w:r w:rsidRPr="00026501">
        <w:rPr>
          <w:rFonts w:ascii="Times New Roman" w:hAnsi="Times New Roman"/>
          <w:spacing w:val="-2"/>
          <w:sz w:val="28"/>
          <w:szCs w:val="28"/>
        </w:rPr>
        <w:t>Dohme</w:t>
      </w:r>
      <w:r w:rsidRPr="00026501">
        <w:rPr>
          <w:rFonts w:ascii="Times New Roman" w:hAnsi="Times New Roman"/>
          <w:spacing w:val="-2"/>
          <w:sz w:val="28"/>
          <w:szCs w:val="28"/>
          <w:lang w:val="uk-UA"/>
        </w:rPr>
        <w:t>) (98 місце) та AstraZeneca (99 місце).</w:t>
      </w:r>
    </w:p>
    <w:p w:rsidR="006D1CDA" w:rsidRPr="007D1D16" w:rsidRDefault="006D1CDA" w:rsidP="002E43A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7D1D16">
        <w:rPr>
          <w:rFonts w:ascii="Times New Roman" w:hAnsi="Times New Roman"/>
          <w:sz w:val="28"/>
          <w:szCs w:val="28"/>
          <w:lang w:val="uk-UA"/>
        </w:rPr>
        <w:t xml:space="preserve">Таблиця 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7D1D16">
        <w:rPr>
          <w:rFonts w:ascii="Times New Roman" w:hAnsi="Times New Roman"/>
          <w:sz w:val="28"/>
          <w:szCs w:val="28"/>
          <w:lang w:val="uk-UA"/>
        </w:rPr>
        <w:t>3</w:t>
      </w:r>
    </w:p>
    <w:p w:rsidR="00F233A8" w:rsidRDefault="006D1CDA" w:rsidP="002E43A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D1D16">
        <w:rPr>
          <w:rFonts w:ascii="Times New Roman" w:hAnsi="Times New Roman"/>
          <w:b/>
          <w:bCs/>
          <w:sz w:val="28"/>
          <w:szCs w:val="28"/>
          <w:lang w:val="uk-UA"/>
        </w:rPr>
        <w:t xml:space="preserve">ТОП-10 соціально відповідальних компаній світу, з найвищим </w:t>
      </w:r>
    </w:p>
    <w:p w:rsidR="006D1CDA" w:rsidRPr="007D1D16" w:rsidRDefault="006D1CDA" w:rsidP="002E43A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7D1D16">
        <w:rPr>
          <w:rFonts w:ascii="Times New Roman" w:hAnsi="Times New Roman"/>
          <w:b/>
          <w:bCs/>
          <w:sz w:val="28"/>
          <w:szCs w:val="28"/>
          <w:lang w:val="uk-UA"/>
        </w:rPr>
        <w:t>рейтингом репутації та розвитку</w:t>
      </w:r>
    </w:p>
    <w:tbl>
      <w:tblPr>
        <w:tblW w:w="9417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1333"/>
        <w:gridCol w:w="1280"/>
        <w:gridCol w:w="1777"/>
        <w:gridCol w:w="1348"/>
        <w:gridCol w:w="1316"/>
        <w:gridCol w:w="1510"/>
      </w:tblGrid>
      <w:tr w:rsidR="006D1CDA" w:rsidRPr="008656DC" w:rsidTr="002E43A0">
        <w:trPr>
          <w:jc w:val="center"/>
        </w:trPr>
        <w:tc>
          <w:tcPr>
            <w:tcW w:w="852" w:type="dxa"/>
            <w:vMerge w:val="restart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4"/>
                <w:sz w:val="16"/>
                <w:szCs w:val="16"/>
                <w:lang w:val="uk-UA"/>
              </w:rPr>
            </w:pPr>
            <w:r w:rsidRPr="002E43A0">
              <w:rPr>
                <w:rFonts w:ascii="Times New Roman" w:hAnsi="Times New Roman"/>
                <w:b/>
                <w:kern w:val="24"/>
                <w:sz w:val="16"/>
                <w:szCs w:val="16"/>
                <w:lang w:val="uk-UA"/>
              </w:rPr>
              <w:t xml:space="preserve">Рейтинг </w:t>
            </w:r>
          </w:p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E43A0">
              <w:rPr>
                <w:rFonts w:ascii="Times New Roman" w:hAnsi="Times New Roman"/>
                <w:b/>
                <w:kern w:val="24"/>
                <w:sz w:val="16"/>
                <w:szCs w:val="16"/>
                <w:lang w:val="uk-UA"/>
              </w:rPr>
              <w:t>компанії</w:t>
            </w:r>
          </w:p>
        </w:tc>
        <w:tc>
          <w:tcPr>
            <w:tcW w:w="8565" w:type="dxa"/>
            <w:gridSpan w:val="6"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8656DC"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  <w:t>Компанія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Merge/>
          </w:tcPr>
          <w:p w:rsidR="006D1CDA" w:rsidRPr="008656DC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b/>
                <w:kern w:val="24"/>
                <w:lang w:val="uk-UA"/>
              </w:rPr>
            </w:pPr>
            <w:r w:rsidRPr="008656DC">
              <w:rPr>
                <w:b/>
                <w:kern w:val="24"/>
                <w:lang w:val="uk-UA"/>
              </w:rPr>
              <w:t>2015</w:t>
            </w:r>
          </w:p>
        </w:tc>
        <w:tc>
          <w:tcPr>
            <w:tcW w:w="1280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b/>
                <w:kern w:val="24"/>
                <w:lang w:val="uk-UA"/>
              </w:rPr>
            </w:pPr>
            <w:r w:rsidRPr="008656DC">
              <w:rPr>
                <w:b/>
                <w:kern w:val="24"/>
                <w:lang w:val="uk-UA"/>
              </w:rPr>
              <w:t>2014</w:t>
            </w:r>
          </w:p>
        </w:tc>
        <w:tc>
          <w:tcPr>
            <w:tcW w:w="1793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b/>
                <w:kern w:val="24"/>
                <w:lang w:val="uk-UA"/>
              </w:rPr>
            </w:pPr>
            <w:r w:rsidRPr="008656DC">
              <w:rPr>
                <w:b/>
                <w:kern w:val="24"/>
                <w:lang w:val="uk-UA"/>
              </w:rPr>
              <w:t>2013</w:t>
            </w:r>
          </w:p>
        </w:tc>
        <w:tc>
          <w:tcPr>
            <w:tcW w:w="1349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b/>
                <w:kern w:val="24"/>
                <w:lang w:val="uk-UA"/>
              </w:rPr>
            </w:pPr>
            <w:r w:rsidRPr="008656DC">
              <w:rPr>
                <w:b/>
                <w:kern w:val="24"/>
                <w:lang w:val="uk-UA"/>
              </w:rPr>
              <w:t>2012</w:t>
            </w:r>
          </w:p>
        </w:tc>
        <w:tc>
          <w:tcPr>
            <w:tcW w:w="1291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b/>
                <w:kern w:val="24"/>
                <w:lang w:val="uk-UA"/>
              </w:rPr>
            </w:pPr>
            <w:r w:rsidRPr="008656DC">
              <w:rPr>
                <w:b/>
                <w:kern w:val="24"/>
                <w:lang w:val="uk-UA"/>
              </w:rPr>
              <w:t>2011</w:t>
            </w:r>
          </w:p>
        </w:tc>
        <w:tc>
          <w:tcPr>
            <w:tcW w:w="1517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b/>
                <w:kern w:val="24"/>
                <w:lang w:val="uk-UA"/>
              </w:rPr>
            </w:pPr>
            <w:r w:rsidRPr="008656DC">
              <w:rPr>
                <w:b/>
                <w:kern w:val="24"/>
                <w:lang w:val="uk-UA"/>
              </w:rPr>
              <w:t>2010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1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en-US"/>
              </w:rPr>
              <w:t>Google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8656DC">
            <w:pPr>
              <w:pStyle w:val="ae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Google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 xml:space="preserve">Microsoft 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Microsoft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 xml:space="preserve">Google 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Google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2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bCs/>
                <w:color w:val="252525"/>
                <w:shd w:val="clear" w:color="auto" w:fill="FFFFFF"/>
                <w:lang w:val="uk-UA"/>
              </w:rPr>
              <w:t>BMW AG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8656DC">
            <w:pPr>
              <w:pStyle w:val="ae"/>
              <w:spacing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Microsoft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bCs/>
                <w:color w:val="252525"/>
                <w:shd w:val="clear" w:color="auto" w:fill="FFFFFF"/>
                <w:lang w:val="uk-UA"/>
              </w:rPr>
              <w:t>The Walt Disney Company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lang w:val="uk-UA"/>
              </w:rPr>
              <w:t>Google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bCs/>
                <w:color w:val="252525"/>
                <w:shd w:val="clear" w:color="auto" w:fill="FFFFFF"/>
                <w:lang w:val="uk-UA"/>
              </w:rPr>
              <w:t>Apple Inc.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bCs/>
                <w:color w:val="252525"/>
                <w:shd w:val="clear" w:color="auto" w:fill="FFFFFF"/>
                <w:lang w:val="uk-UA"/>
              </w:rPr>
              <w:t>Vodafone Group plc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3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F233A8">
            <w:pPr>
              <w:pStyle w:val="ae"/>
              <w:spacing w:before="0" w:beforeAutospacing="0" w:after="0" w:afterAutospacing="0"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The Walt Disney Company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F233A8">
            <w:pPr>
              <w:pStyle w:val="ae"/>
              <w:spacing w:before="0" w:beforeAutospacing="0" w:after="0" w:afterAutospacing="0"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The Walt Disney Company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Google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F233A8">
            <w:pPr>
              <w:pStyle w:val="ae"/>
              <w:spacing w:before="0" w:beforeAutospacing="0" w:after="0" w:afterAutospacing="0"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The Walt Disney Company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F233A8">
            <w:pPr>
              <w:pStyle w:val="ae"/>
              <w:spacing w:before="0" w:beforeAutospacing="0" w:after="0" w:afterAutospacing="0"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The Walt Disney Company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Microsoft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4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lang w:val="uk-UA"/>
              </w:rPr>
              <w:t>Microsoft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8656DC">
            <w:pPr>
              <w:pStyle w:val="ae"/>
              <w:spacing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BMW AG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bCs/>
                <w:color w:val="252525"/>
                <w:shd w:val="clear" w:color="auto" w:fill="FFFFFF"/>
                <w:lang w:val="uk-UA"/>
              </w:rPr>
              <w:t>BMW AG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bCs/>
                <w:color w:val="252525"/>
                <w:shd w:val="clear" w:color="auto" w:fill="FFFFFF"/>
                <w:lang w:val="uk-UA"/>
              </w:rPr>
              <w:t>BMW AG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lang w:val="uk-UA"/>
              </w:rPr>
              <w:t>Microsoft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865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E43A0">
              <w:rPr>
                <w:rFonts w:ascii="Times New Roman" w:hAnsi="Times New Roman"/>
                <w:bCs/>
                <w:color w:val="252525"/>
                <w:shd w:val="clear" w:color="auto" w:fill="FFFFFF"/>
                <w:lang w:val="uk-UA"/>
              </w:rPr>
              <w:t>Apple Inc.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5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Daimler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Apple Inc.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Daimler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Apple Inc.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Daimler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BMW AG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6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LEGO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LEGO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SONY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Daimler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SONY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SONY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7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Apple Inc.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BMW AG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Intel Corporation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Volkswagen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LEGO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IKEA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8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F233A8">
            <w:pPr>
              <w:pStyle w:val="ae"/>
              <w:spacing w:before="0" w:beforeAutospacing="0" w:after="0" w:afterAutospacing="0"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Intel Corporation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F233A8">
            <w:pPr>
              <w:pStyle w:val="ae"/>
              <w:spacing w:before="0" w:beforeAutospacing="0" w:after="0" w:afterAutospacing="0"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Intel Corporation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Volkswagen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SONY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BMW AG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Volkswagen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9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en-US"/>
              </w:rPr>
              <w:t>Rolls-Royce Aerospace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en-US"/>
              </w:rPr>
              <w:t>Rolex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Apple Inc.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Colgate-Palmolive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Volkswagen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United Parcel Service, Inc.</w:t>
            </w:r>
          </w:p>
        </w:tc>
      </w:tr>
      <w:tr w:rsidR="006D1CDA" w:rsidRPr="008656DC" w:rsidTr="002E43A0">
        <w:trPr>
          <w:jc w:val="center"/>
        </w:trPr>
        <w:tc>
          <w:tcPr>
            <w:tcW w:w="852" w:type="dxa"/>
            <w:vAlign w:val="center"/>
          </w:tcPr>
          <w:p w:rsidR="006D1CDA" w:rsidRPr="008656DC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lang w:val="uk-UA"/>
              </w:rPr>
            </w:pPr>
            <w:r w:rsidRPr="008656DC">
              <w:rPr>
                <w:kern w:val="24"/>
                <w:lang w:val="uk-UA"/>
              </w:rPr>
              <w:t>10</w:t>
            </w:r>
          </w:p>
        </w:tc>
        <w:tc>
          <w:tcPr>
            <w:tcW w:w="1335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en-US"/>
              </w:rPr>
              <w:t>Rolex</w:t>
            </w:r>
          </w:p>
        </w:tc>
        <w:tc>
          <w:tcPr>
            <w:tcW w:w="1280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Daimler</w:t>
            </w:r>
          </w:p>
        </w:tc>
        <w:tc>
          <w:tcPr>
            <w:tcW w:w="1793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Nestle</w:t>
            </w:r>
          </w:p>
        </w:tc>
        <w:tc>
          <w:tcPr>
            <w:tcW w:w="1349" w:type="dxa"/>
            <w:vAlign w:val="center"/>
          </w:tcPr>
          <w:p w:rsidR="006D1CDA" w:rsidRPr="002E43A0" w:rsidRDefault="006D1CDA" w:rsidP="008656DC">
            <w:pPr>
              <w:pStyle w:val="ae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sz w:val="22"/>
                <w:szCs w:val="22"/>
                <w:lang w:val="uk-UA"/>
              </w:rPr>
              <w:t>LEGO</w:t>
            </w:r>
          </w:p>
        </w:tc>
        <w:tc>
          <w:tcPr>
            <w:tcW w:w="1291" w:type="dxa"/>
            <w:vAlign w:val="center"/>
          </w:tcPr>
          <w:p w:rsidR="006D1CDA" w:rsidRPr="002E43A0" w:rsidRDefault="006D1CDA" w:rsidP="00F233A8">
            <w:pPr>
              <w:pStyle w:val="ae"/>
              <w:spacing w:before="0" w:beforeAutospacing="0" w:after="0" w:afterAutospacing="0"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Intel Corporation</w:t>
            </w:r>
          </w:p>
        </w:tc>
        <w:tc>
          <w:tcPr>
            <w:tcW w:w="1517" w:type="dxa"/>
            <w:vAlign w:val="center"/>
          </w:tcPr>
          <w:p w:rsidR="006D1CDA" w:rsidRPr="002E43A0" w:rsidRDefault="006D1CDA" w:rsidP="00F233A8">
            <w:pPr>
              <w:pStyle w:val="ae"/>
              <w:spacing w:before="0" w:beforeAutospacing="0" w:after="0" w:afterAutospacing="0"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2E43A0">
              <w:rPr>
                <w:bCs/>
                <w:color w:val="252525"/>
                <w:sz w:val="22"/>
                <w:szCs w:val="22"/>
                <w:shd w:val="clear" w:color="auto" w:fill="FFFFFF"/>
                <w:lang w:val="uk-UA"/>
              </w:rPr>
              <w:t>Intel Corporation</w:t>
            </w:r>
          </w:p>
        </w:tc>
      </w:tr>
    </w:tbl>
    <w:p w:rsidR="00F233A8" w:rsidRDefault="00F233A8" w:rsidP="00F233A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6D1CDA" w:rsidRPr="002E43A0" w:rsidRDefault="00493C69" w:rsidP="00C20B6D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noProof/>
          <w:spacing w:val="-4"/>
          <w:sz w:val="28"/>
          <w:szCs w:val="28"/>
        </w:rPr>
        <w:pict>
          <v:shape id="_x0000_s1046" type="#_x0000_t202" style="position:absolute;left:0;text-align:left;margin-left:219.45pt;margin-top:160.4pt;width:32.25pt;height:24pt;z-index:251668480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xbxContent>
            </v:textbox>
          </v:shape>
        </w:pict>
      </w:r>
      <w:r w:rsidR="006D1CDA" w:rsidRPr="002E43A0">
        <w:rPr>
          <w:rFonts w:ascii="Times New Roman" w:hAnsi="Times New Roman"/>
          <w:spacing w:val="-4"/>
          <w:sz w:val="28"/>
          <w:szCs w:val="28"/>
          <w:lang w:val="uk-UA"/>
        </w:rPr>
        <w:t>Також слід відзначити, що звіт «2016 Global Pharma RepTrak</w:t>
      </w:r>
      <w:r w:rsidR="006D1CDA" w:rsidRPr="002E43A0">
        <w:rPr>
          <w:rFonts w:ascii="Times New Roman" w:hAnsi="Times New Roman"/>
          <w:spacing w:val="-4"/>
          <w:sz w:val="28"/>
          <w:szCs w:val="28"/>
          <w:vertAlign w:val="superscript"/>
          <w:lang w:val="uk-UA"/>
        </w:rPr>
        <w:t>®</w:t>
      </w:r>
      <w:r w:rsidR="006D1CDA" w:rsidRPr="002E43A0">
        <w:rPr>
          <w:rFonts w:ascii="Times New Roman" w:hAnsi="Times New Roman"/>
          <w:spacing w:val="-4"/>
          <w:sz w:val="28"/>
          <w:szCs w:val="28"/>
          <w:lang w:val="uk-UA"/>
        </w:rPr>
        <w:t>», який складений у другому кварталі 2016 року Інститутом Репутації, показав, що з</w:t>
      </w:r>
      <w:r w:rsidR="006D1CDA" w:rsidRPr="002E43A0">
        <w:rPr>
          <w:rFonts w:ascii="Times New Roman" w:hAnsi="Times New Roman"/>
          <w:spacing w:val="-4"/>
          <w:sz w:val="28"/>
          <w:szCs w:val="28"/>
          <w:lang w:val="uk-UA"/>
        </w:rPr>
        <w:t>а</w:t>
      </w:r>
      <w:r w:rsidR="006D1CDA" w:rsidRPr="002E43A0">
        <w:rPr>
          <w:rFonts w:ascii="Times New Roman" w:hAnsi="Times New Roman"/>
          <w:spacing w:val="-4"/>
          <w:sz w:val="28"/>
          <w:szCs w:val="28"/>
          <w:lang w:val="uk-UA"/>
        </w:rPr>
        <w:t>гальносвітове сприйняття соціально відповідальної поведінки фармацевтичних компаній в цілому зростає. Так, звіт «RepTrak</w:t>
      </w:r>
      <w:r w:rsidR="006D1CDA" w:rsidRPr="002E43A0">
        <w:rPr>
          <w:rFonts w:ascii="Times New Roman" w:hAnsi="Times New Roman"/>
          <w:spacing w:val="-4"/>
          <w:sz w:val="28"/>
          <w:szCs w:val="28"/>
          <w:vertAlign w:val="superscript"/>
          <w:lang w:val="uk-UA"/>
        </w:rPr>
        <w:t>®</w:t>
      </w:r>
      <w:r w:rsidR="006D1CDA" w:rsidRPr="002E43A0">
        <w:rPr>
          <w:rFonts w:ascii="Times New Roman" w:hAnsi="Times New Roman"/>
          <w:spacing w:val="-4"/>
          <w:sz w:val="28"/>
          <w:szCs w:val="28"/>
          <w:lang w:val="uk-UA"/>
        </w:rPr>
        <w:t xml:space="preserve"> Pulse» показав збільшення з 65,7 у 2015 році до 67,6 у 2016 році індексу соціальної відповідальності фармації. У Великобританії, США, Австралії, Бразилії, Германії та Росії, репутація фарм</w:t>
      </w:r>
      <w:r w:rsidR="006D1CDA" w:rsidRPr="002E43A0">
        <w:rPr>
          <w:rFonts w:ascii="Times New Roman" w:hAnsi="Times New Roman"/>
          <w:spacing w:val="-4"/>
          <w:sz w:val="28"/>
          <w:szCs w:val="28"/>
          <w:lang w:val="uk-UA"/>
        </w:rPr>
        <w:t>а</w:t>
      </w:r>
      <w:r w:rsidR="006D1CDA" w:rsidRPr="002E43A0">
        <w:rPr>
          <w:rFonts w:ascii="Times New Roman" w:hAnsi="Times New Roman"/>
          <w:spacing w:val="-4"/>
          <w:sz w:val="28"/>
          <w:szCs w:val="28"/>
          <w:lang w:val="uk-UA"/>
        </w:rPr>
        <w:t>цевтичних компаній зросла до значення індексу 70 і навіть більше.</w:t>
      </w:r>
    </w:p>
    <w:p w:rsidR="006D1CDA" w:rsidRPr="002E43A0" w:rsidRDefault="006D1CDA" w:rsidP="00D17AC5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lastRenderedPageBreak/>
        <w:t>Теперішній стан розвитку соціальної відповідальності суб’єктів фарм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а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цевтичної галузі свідчить не про відсутність соціально відповідальної діяльн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о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сті ФП, і не про її нерозвиненість, а про недостатню увагу з боку ФП щодо оприлюднення результатів свої діяльності та невміння себе правильно позиц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і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онувати. Тобто, сьогодні ФП повинні знайти нові підходи до побудови сист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е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ми комунікацій, впровадження системи регулярної соціальної звітності, вик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о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ристання новітніх технологій до оцінки та управління власною соціально ві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д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повідальною діяльністю, ФП повинні відмовитись від шаблонних дій в сфері соціальної відповідальності, оптимізувати витрати на реалізацію соціальних та екологічних проектів, будувати сталі партнерські відносини з бізнес-оточенням та місцевим співтовариством. Прикладом ефективного управління соціальною відповідальність для вітчизняних ФП може стати компанія Bayer, яка сьогодні має найвищий рейтинг репутації (за даними звіту «2016 Global Pharma RepTrak</w:t>
      </w:r>
      <w:r w:rsidRPr="002E43A0">
        <w:rPr>
          <w:rFonts w:ascii="Times New Roman" w:hAnsi="Times New Roman"/>
          <w:spacing w:val="-2"/>
          <w:sz w:val="28"/>
          <w:szCs w:val="28"/>
          <w:vertAlign w:val="superscript"/>
          <w:lang w:val="uk-UA"/>
        </w:rPr>
        <w:t>®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», індекс репутації фармкомпанії Bayer склав 70,6 зі 100 мо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ж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ливих). Також лідерами в сфері соціальної відповідальності є такі фармаце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в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тичні компанії, як Abbott Laboratories, Novo Nordisk, Roche, Merck, Sanofi, Allergan, AstraZeneca, Eli Lilly, AbbVie, GSK, Novartis, Bristol-Myers Squibb, та Pfizer, які за рейтингом 2016 року мають індекси репутації від 65,9 до 68,7.</w:t>
      </w:r>
    </w:p>
    <w:p w:rsidR="006D1CDA" w:rsidRDefault="006D1CDA" w:rsidP="00D17A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багаторічно доведеними та перевіреними даними Інституту репут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ції, підвищення індексу соціальної відповідальності та репутації на </w:t>
      </w:r>
      <w:r w:rsidRPr="00D17AC5">
        <w:rPr>
          <w:rFonts w:ascii="Times New Roman" w:hAnsi="Times New Roman"/>
          <w:sz w:val="28"/>
          <w:szCs w:val="28"/>
          <w:lang w:val="uk-UA"/>
        </w:rPr>
        <w:t>5 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17AC5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дає можливість підвищити </w:t>
      </w:r>
      <w:r w:rsidRPr="00D17AC5">
        <w:rPr>
          <w:rFonts w:ascii="Times New Roman" w:hAnsi="Times New Roman"/>
          <w:sz w:val="28"/>
          <w:szCs w:val="28"/>
          <w:lang w:val="uk-UA"/>
        </w:rPr>
        <w:t>готовн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17AC5">
        <w:rPr>
          <w:rFonts w:ascii="Times New Roman" w:hAnsi="Times New Roman"/>
          <w:sz w:val="28"/>
          <w:szCs w:val="28"/>
          <w:lang w:val="uk-UA"/>
        </w:rPr>
        <w:t xml:space="preserve">сть </w:t>
      </w:r>
      <w:r>
        <w:rPr>
          <w:rFonts w:ascii="Times New Roman" w:hAnsi="Times New Roman"/>
          <w:sz w:val="28"/>
          <w:szCs w:val="28"/>
          <w:lang w:val="uk-UA"/>
        </w:rPr>
        <w:t xml:space="preserve">суб’єктів бізнес-середовища </w:t>
      </w:r>
      <w:r w:rsidRPr="00D17AC5">
        <w:rPr>
          <w:rFonts w:ascii="Times New Roman" w:hAnsi="Times New Roman"/>
          <w:sz w:val="28"/>
          <w:szCs w:val="28"/>
          <w:lang w:val="uk-UA"/>
        </w:rPr>
        <w:t>рекоме</w:t>
      </w:r>
      <w:r w:rsidRPr="00D17AC5">
        <w:rPr>
          <w:rFonts w:ascii="Times New Roman" w:hAnsi="Times New Roman"/>
          <w:sz w:val="28"/>
          <w:szCs w:val="28"/>
          <w:lang w:val="uk-UA"/>
        </w:rPr>
        <w:t>н</w:t>
      </w:r>
      <w:r w:rsidRPr="00D17AC5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увати компанію як стабільного партнера та підвищити лояльність спожив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чів на </w:t>
      </w:r>
      <w:r w:rsidRPr="00D17AC5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17AC5">
        <w:rPr>
          <w:rFonts w:ascii="Times New Roman" w:hAnsi="Times New Roman"/>
          <w:sz w:val="28"/>
          <w:szCs w:val="28"/>
          <w:lang w:val="uk-UA"/>
        </w:rPr>
        <w:t xml:space="preserve">5%. Таким </w:t>
      </w:r>
      <w:r>
        <w:rPr>
          <w:rFonts w:ascii="Times New Roman" w:hAnsi="Times New Roman"/>
          <w:sz w:val="28"/>
          <w:szCs w:val="28"/>
          <w:lang w:val="uk-UA"/>
        </w:rPr>
        <w:t>чином</w:t>
      </w:r>
      <w:r w:rsidRPr="00D17AC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це логічно збільшує конкурентоспроможність ФП, сприяє зростанню прибутку та є запорукою побудови довгострокових пар</w:t>
      </w:r>
      <w:r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>нерських відносин з бізнес-середовищем.</w:t>
      </w:r>
    </w:p>
    <w:p w:rsidR="006D1CDA" w:rsidRPr="002E43F0" w:rsidRDefault="00493C69" w:rsidP="002E43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7" type="#_x0000_t202" style="position:absolute;left:0;text-align:left;margin-left:220.95pt;margin-top:113.6pt;width:32.25pt;height:24pt;z-index:251669504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xbxContent>
            </v:textbox>
          </v:shape>
        </w:pict>
      </w:r>
      <w:r w:rsidR="006D1CDA" w:rsidRPr="002E43F0">
        <w:rPr>
          <w:rFonts w:ascii="Times New Roman" w:hAnsi="Times New Roman"/>
          <w:sz w:val="28"/>
          <w:szCs w:val="28"/>
          <w:lang w:val="uk-UA"/>
        </w:rPr>
        <w:t>На відміну від лідерів світового фармацевтичного ринку, більшість українських ФП у внутрішньофірмовому менеджменті акцентують увагу на економічному боці бізнес-процесів, і не приділяють достатньої уваги соці</w:t>
      </w:r>
      <w:r w:rsidR="006D1CDA" w:rsidRPr="002E43F0">
        <w:rPr>
          <w:rFonts w:ascii="Times New Roman" w:hAnsi="Times New Roman"/>
          <w:sz w:val="28"/>
          <w:szCs w:val="28"/>
          <w:lang w:val="uk-UA"/>
        </w:rPr>
        <w:t>а</w:t>
      </w:r>
      <w:r w:rsidR="006D1CDA" w:rsidRPr="002E43F0">
        <w:rPr>
          <w:rFonts w:ascii="Times New Roman" w:hAnsi="Times New Roman"/>
          <w:sz w:val="28"/>
          <w:szCs w:val="28"/>
          <w:lang w:val="uk-UA"/>
        </w:rPr>
        <w:t xml:space="preserve">льному розвитку, власній репутації та питанням формування, оцінки та управління </w:t>
      </w:r>
      <w:r w:rsidR="006D1CDA">
        <w:rPr>
          <w:rFonts w:ascii="Times New Roman" w:hAnsi="Times New Roman"/>
          <w:sz w:val="28"/>
          <w:szCs w:val="28"/>
          <w:lang w:val="uk-UA"/>
        </w:rPr>
        <w:t>СВФБ</w:t>
      </w:r>
      <w:r w:rsidR="006D1CDA" w:rsidRPr="002E43F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D1CDA" w:rsidRPr="002E43A0" w:rsidRDefault="006D1CDA" w:rsidP="002E43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2E43A0">
        <w:rPr>
          <w:rFonts w:ascii="Times New Roman" w:hAnsi="Times New Roman"/>
          <w:bCs/>
          <w:spacing w:val="-2"/>
          <w:sz w:val="28"/>
          <w:szCs w:val="28"/>
          <w:lang w:val="uk-UA"/>
        </w:rPr>
        <w:lastRenderedPageBreak/>
        <w:t>Але сьогодні близько 50 % вітчизняних фармвиробників розширюють перелік соціальних пільг для персоналу, як</w:t>
      </w:r>
      <w:r w:rsidRPr="002E43A0">
        <w:rPr>
          <w:rFonts w:ascii="Times New Roman" w:hAnsi="Times New Roman"/>
          <w:iCs/>
          <w:spacing w:val="-2"/>
          <w:sz w:val="28"/>
          <w:szCs w:val="28"/>
          <w:lang w:val="uk-UA"/>
        </w:rPr>
        <w:t xml:space="preserve"> відповідно до соціальних держа</w:t>
      </w:r>
      <w:r w:rsidRPr="002E43A0">
        <w:rPr>
          <w:rFonts w:ascii="Times New Roman" w:hAnsi="Times New Roman"/>
          <w:iCs/>
          <w:spacing w:val="-2"/>
          <w:sz w:val="28"/>
          <w:szCs w:val="28"/>
          <w:lang w:val="uk-UA"/>
        </w:rPr>
        <w:t>в</w:t>
      </w:r>
      <w:r w:rsidRPr="002E43A0">
        <w:rPr>
          <w:rFonts w:ascii="Times New Roman" w:hAnsi="Times New Roman"/>
          <w:iCs/>
          <w:spacing w:val="-2"/>
          <w:sz w:val="28"/>
          <w:szCs w:val="28"/>
          <w:lang w:val="uk-UA"/>
        </w:rPr>
        <w:t>них стандартів (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оплата лікарняних листків; надання чергової оплачуваної ві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д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пустки; обов’язкове соціальне страхування; відрахування до пенсійного фо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н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ду; відшкодування видатків, пов’язаних з відрядженнями співробітників; ві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д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шкодування транспортних видатків співробітникам, постійна робота яких н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о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сить роз’їзний характер; доплати та надбавки (за виконання обов’язків тимч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а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сово відсутнього працівника, за роботу у святкові та вихідні дні, за виконання шкідливих робіт та ін.); забезпечення питною водою, молоком для встановл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е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них видів робіт; забезпечення спецодягом; оформлення оздоровчих путівок для співробітників (через Фонд Соціального страхування); організовують ме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д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пункти для проведення обов’язкових медичних оглядів), так і к</w:t>
      </w:r>
      <w:r w:rsidRPr="002E43A0">
        <w:rPr>
          <w:rFonts w:ascii="Times New Roman" w:hAnsi="Times New Roman"/>
          <w:iCs/>
          <w:spacing w:val="-2"/>
          <w:sz w:val="28"/>
          <w:szCs w:val="28"/>
          <w:lang w:val="uk-UA"/>
        </w:rPr>
        <w:t>орпоративні пільги (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додаткова оплачувана відпустка; представницькі видатки; медичне страхування співробітників; пільгове медичне страхування членів родини; оплати витрат на мобільний зв’язок; матеріальна допомога на харчування; м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а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теріальна допомога в особливих випадках). У Колективних договорах ФП з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а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кріплені права працівників користуватись спортивними залами, корпорати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в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ним транспортом, надаються оздоровчі путівки членам родин працівників. Ч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е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рез Профспілку працівники отримують новорічні подарунки для власних д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і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тей. ФП беруть на себе витрати з корпоративних заходів, з організації роботи корпоративних бібліотек та утримання корпоративних університетів, втіл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ю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ються в життя програми підтримки колишніх співробітників, надається доп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о</w:t>
      </w:r>
      <w:r w:rsidRPr="002E43A0">
        <w:rPr>
          <w:rFonts w:ascii="Times New Roman" w:hAnsi="Times New Roman"/>
          <w:spacing w:val="-2"/>
          <w:sz w:val="28"/>
          <w:szCs w:val="28"/>
          <w:lang w:val="uk-UA"/>
        </w:rPr>
        <w:t>мога ветеранам та пенсіонерам, які тривалий час працювали на ФП.</w:t>
      </w:r>
    </w:p>
    <w:p w:rsidR="006D1CDA" w:rsidRDefault="00493C69" w:rsidP="002E43F0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48" type="#_x0000_t202" style="position:absolute;left:0;text-align:left;margin-left:220.95pt;margin-top:165.65pt;width:32.25pt;height:24pt;z-index:251670528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xbxContent>
            </v:textbox>
          </v:shape>
        </w:pict>
      </w:r>
      <w:r w:rsidR="006D1CDA" w:rsidRPr="002E43F0">
        <w:rPr>
          <w:sz w:val="28"/>
          <w:szCs w:val="28"/>
          <w:lang w:val="uk-UA"/>
        </w:rPr>
        <w:t>Так, за даними опитування Міжнародного кадрового порталу Head-Hunter Україна, 50 % компаній, окрім своєї основної діяльності, займається також і реалізацією соціальних програм. Найчастіше йдеться про благоді</w:t>
      </w:r>
      <w:r w:rsidR="006D1CDA" w:rsidRPr="002E43F0">
        <w:rPr>
          <w:sz w:val="28"/>
          <w:szCs w:val="28"/>
          <w:lang w:val="uk-UA"/>
        </w:rPr>
        <w:t>й</w:t>
      </w:r>
      <w:r w:rsidR="006D1CDA" w:rsidRPr="002E43F0">
        <w:rPr>
          <w:sz w:val="28"/>
          <w:szCs w:val="28"/>
          <w:lang w:val="uk-UA"/>
        </w:rPr>
        <w:t>ність – допомогу соціально незахищеним верствам населення і медичним з</w:t>
      </w:r>
      <w:r w:rsidR="006D1CDA" w:rsidRPr="002E43F0">
        <w:rPr>
          <w:sz w:val="28"/>
          <w:szCs w:val="28"/>
          <w:lang w:val="uk-UA"/>
        </w:rPr>
        <w:t>а</w:t>
      </w:r>
      <w:r w:rsidR="006D1CDA" w:rsidRPr="002E43F0">
        <w:rPr>
          <w:sz w:val="28"/>
          <w:szCs w:val="28"/>
          <w:lang w:val="uk-UA"/>
        </w:rPr>
        <w:t>кладам. Також досить часто роботодавці стурбовані соціальним захистом власних співробітників, рідше – проектами, спрямованими на розвиток соц</w:t>
      </w:r>
      <w:r w:rsidR="006D1CDA" w:rsidRPr="002E43F0">
        <w:rPr>
          <w:sz w:val="28"/>
          <w:szCs w:val="28"/>
          <w:lang w:val="uk-UA"/>
        </w:rPr>
        <w:t>і</w:t>
      </w:r>
      <w:r w:rsidR="006D1CDA" w:rsidRPr="002E43F0">
        <w:rPr>
          <w:sz w:val="28"/>
          <w:szCs w:val="28"/>
          <w:lang w:val="uk-UA"/>
        </w:rPr>
        <w:t>альної інфраструктури. А ось екологічні програми поки менш популярні, х</w:t>
      </w:r>
      <w:r w:rsidR="006D1CDA" w:rsidRPr="002E43F0">
        <w:rPr>
          <w:sz w:val="28"/>
          <w:szCs w:val="28"/>
          <w:lang w:val="uk-UA"/>
        </w:rPr>
        <w:t>о</w:t>
      </w:r>
      <w:r w:rsidR="006D1CDA" w:rsidRPr="002E43F0">
        <w:rPr>
          <w:sz w:val="28"/>
          <w:szCs w:val="28"/>
          <w:lang w:val="uk-UA"/>
        </w:rPr>
        <w:lastRenderedPageBreak/>
        <w:t xml:space="preserve">ча </w:t>
      </w:r>
      <w:r w:rsidR="006D1CDA">
        <w:rPr>
          <w:sz w:val="28"/>
          <w:szCs w:val="28"/>
          <w:lang w:val="uk-UA"/>
        </w:rPr>
        <w:t xml:space="preserve">фармвиробники </w:t>
      </w:r>
      <w:r w:rsidR="006D1CDA" w:rsidRPr="002E43F0">
        <w:rPr>
          <w:sz w:val="28"/>
          <w:szCs w:val="28"/>
          <w:lang w:val="uk-UA"/>
        </w:rPr>
        <w:t xml:space="preserve">й працюють у напряму сертифікації за стандартами </w:t>
      </w:r>
      <w:r w:rsidR="006D1CDA" w:rsidRPr="002E43F0">
        <w:rPr>
          <w:sz w:val="28"/>
          <w:szCs w:val="28"/>
          <w:lang w:val="en-US"/>
        </w:rPr>
        <w:t>ISO</w:t>
      </w:r>
      <w:r w:rsidR="006D1CDA" w:rsidRPr="002E43F0">
        <w:rPr>
          <w:sz w:val="28"/>
          <w:szCs w:val="28"/>
          <w:lang w:val="uk-UA"/>
        </w:rPr>
        <w:t xml:space="preserve"> серії 14000. Кількість ФП, які розробляють соціальні програми наведена на рис. </w:t>
      </w:r>
      <w:r w:rsidR="006D1CDA">
        <w:rPr>
          <w:sz w:val="28"/>
          <w:szCs w:val="28"/>
          <w:lang w:val="uk-UA"/>
        </w:rPr>
        <w:t>1.</w:t>
      </w:r>
      <w:r w:rsidR="006D1CDA" w:rsidRPr="002E43F0">
        <w:rPr>
          <w:sz w:val="28"/>
          <w:szCs w:val="28"/>
          <w:lang w:val="uk-UA"/>
        </w:rPr>
        <w:t>1, дані отримані станом на 01.09.2013 року.</w:t>
      </w:r>
    </w:p>
    <w:p w:rsidR="006D1CDA" w:rsidRPr="002E43F0" w:rsidRDefault="008E0160" w:rsidP="002A7D64">
      <w:pPr>
        <w:pStyle w:val="ae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914900" cy="2752725"/>
            <wp:effectExtent l="0" t="0" r="0" b="0"/>
            <wp:docPr id="1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D1CDA" w:rsidRPr="005B0DA5" w:rsidRDefault="006D1CDA" w:rsidP="00845B6D">
      <w:pPr>
        <w:pStyle w:val="ae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5B0DA5">
        <w:rPr>
          <w:sz w:val="28"/>
          <w:szCs w:val="28"/>
          <w:lang w:val="uk-UA"/>
        </w:rPr>
        <w:t>Рис. 1.1. Розподіл ФП за участю у соціальних програмах</w:t>
      </w:r>
    </w:p>
    <w:p w:rsidR="006D1CDA" w:rsidRPr="005B0DA5" w:rsidRDefault="006D1CDA" w:rsidP="002A7D64">
      <w:pPr>
        <w:pStyle w:val="ae"/>
        <w:shd w:val="clear" w:color="auto" w:fill="FFFFFF"/>
        <w:spacing w:before="0" w:beforeAutospacing="0" w:after="0" w:afterAutospacing="0" w:line="160" w:lineRule="exact"/>
        <w:ind w:firstLine="709"/>
        <w:jc w:val="both"/>
        <w:rPr>
          <w:sz w:val="28"/>
          <w:szCs w:val="28"/>
          <w:lang w:val="uk-UA"/>
        </w:rPr>
      </w:pPr>
    </w:p>
    <w:p w:rsidR="006D1CDA" w:rsidRPr="002E43A0" w:rsidRDefault="00493C69" w:rsidP="002E43A0">
      <w:pPr>
        <w:pStyle w:val="ae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</w:pPr>
      <w:r w:rsidRPr="00493C69">
        <w:rPr>
          <w:noProof/>
          <w:spacing w:val="-2"/>
          <w:sz w:val="28"/>
          <w:szCs w:val="28"/>
        </w:rPr>
        <w:pict>
          <v:shape id="_x0000_s1049" type="#_x0000_t202" style="position:absolute;left:0;text-align:left;margin-left:220.2pt;margin-top:386.4pt;width:32.25pt;height:24pt;z-index:251671552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xbxContent>
            </v:textbox>
          </v:shape>
        </w:pict>
      </w:r>
      <w:r w:rsidR="006D1CDA" w:rsidRPr="002E43A0">
        <w:rPr>
          <w:spacing w:val="-2"/>
          <w:sz w:val="28"/>
          <w:szCs w:val="28"/>
          <w:lang w:val="uk-UA"/>
        </w:rPr>
        <w:t>Серед невеликих фармацевтичних компаній відсоток тих, у кого є соці</w:t>
      </w:r>
      <w:r w:rsidR="006D1CDA" w:rsidRPr="002E43A0">
        <w:rPr>
          <w:spacing w:val="-2"/>
          <w:sz w:val="28"/>
          <w:szCs w:val="28"/>
          <w:lang w:val="uk-UA"/>
        </w:rPr>
        <w:t>а</w:t>
      </w:r>
      <w:r w:rsidR="006D1CDA" w:rsidRPr="002E43A0">
        <w:rPr>
          <w:spacing w:val="-2"/>
          <w:sz w:val="28"/>
          <w:szCs w:val="28"/>
          <w:lang w:val="uk-UA"/>
        </w:rPr>
        <w:t>льні проекти, ненабагато перевищує третину (34%), у випадку з компаніями середнього розміру – це вже більше половини роботодавців (55%), а серед компаній, де працює понад 200 осіб, цей показник уже 62%. Закономірно т</w:t>
      </w:r>
      <w:r w:rsidR="006D1CDA" w:rsidRPr="002E43A0">
        <w:rPr>
          <w:spacing w:val="-2"/>
          <w:sz w:val="28"/>
          <w:szCs w:val="28"/>
          <w:lang w:val="uk-UA"/>
        </w:rPr>
        <w:t>а</w:t>
      </w:r>
      <w:r w:rsidR="006D1CDA" w:rsidRPr="002E43A0">
        <w:rPr>
          <w:spacing w:val="-2"/>
          <w:sz w:val="28"/>
          <w:szCs w:val="28"/>
          <w:lang w:val="uk-UA"/>
        </w:rPr>
        <w:t>кож, що малий і середній фармацевтичний бізнес більше тяжіють до благоді</w:t>
      </w:r>
      <w:r w:rsidR="006D1CDA" w:rsidRPr="002E43A0">
        <w:rPr>
          <w:spacing w:val="-2"/>
          <w:sz w:val="28"/>
          <w:szCs w:val="28"/>
          <w:lang w:val="uk-UA"/>
        </w:rPr>
        <w:t>й</w:t>
      </w:r>
      <w:r w:rsidR="006D1CDA" w:rsidRPr="002E43A0">
        <w:rPr>
          <w:spacing w:val="-2"/>
          <w:sz w:val="28"/>
          <w:szCs w:val="28"/>
          <w:lang w:val="uk-UA"/>
        </w:rPr>
        <w:t>ності, в той час як великі фармацевтичні компанії більше уваги приділяють системним проектам розвитку соціальної інфраструктури і покращення екол</w:t>
      </w:r>
      <w:r w:rsidR="006D1CDA" w:rsidRPr="002E43A0">
        <w:rPr>
          <w:spacing w:val="-2"/>
          <w:sz w:val="28"/>
          <w:szCs w:val="28"/>
          <w:lang w:val="uk-UA"/>
        </w:rPr>
        <w:t>о</w:t>
      </w:r>
      <w:r w:rsidR="006D1CDA" w:rsidRPr="002E43A0">
        <w:rPr>
          <w:spacing w:val="-2"/>
          <w:sz w:val="28"/>
          <w:szCs w:val="28"/>
          <w:lang w:val="uk-UA"/>
        </w:rPr>
        <w:t xml:space="preserve">гічної ситуації. 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Але програми соціальної відповідальності на більшості ФП н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о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сять дещо спонтанний характер, до системного підходу в цьому питанні укра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ї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 xml:space="preserve">нському фармацевтичному бізнесу необхідно розвиватися. Так, </w:t>
      </w:r>
      <w:r w:rsidR="006D1CDA" w:rsidRPr="002E43A0">
        <w:rPr>
          <w:spacing w:val="-2"/>
          <w:sz w:val="28"/>
          <w:szCs w:val="28"/>
          <w:lang w:val="uk-UA"/>
        </w:rPr>
        <w:t>42% фармац</w:t>
      </w:r>
      <w:r w:rsidR="006D1CDA" w:rsidRPr="002E43A0">
        <w:rPr>
          <w:spacing w:val="-2"/>
          <w:sz w:val="28"/>
          <w:szCs w:val="28"/>
          <w:lang w:val="uk-UA"/>
        </w:rPr>
        <w:t>е</w:t>
      </w:r>
      <w:r w:rsidR="006D1CDA" w:rsidRPr="002E43A0">
        <w:rPr>
          <w:spacing w:val="-2"/>
          <w:sz w:val="28"/>
          <w:szCs w:val="28"/>
          <w:lang w:val="uk-UA"/>
        </w:rPr>
        <w:t>втичних роботодавців мають чітку стратегію реалізації соціальних програм, ще стільки ж (43%)  регулярно  реалізують  корисні  для  суспільства ініціат</w:t>
      </w:r>
      <w:r w:rsidR="006D1CDA" w:rsidRPr="002E43A0">
        <w:rPr>
          <w:spacing w:val="-2"/>
          <w:sz w:val="28"/>
          <w:szCs w:val="28"/>
          <w:lang w:val="uk-UA"/>
        </w:rPr>
        <w:t>и</w:t>
      </w:r>
      <w:r w:rsidR="006D1CDA" w:rsidRPr="002E43A0">
        <w:rPr>
          <w:spacing w:val="-2"/>
          <w:sz w:val="28"/>
          <w:szCs w:val="28"/>
          <w:lang w:val="uk-UA"/>
        </w:rPr>
        <w:t>ви, але без особливого стратегічного планування і довгострокових задач. А для 16% соціальні програми – це всього лише разові нерегулярні проекти. Але спостерігається така тенденція: ч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им більша та фінансово стабільніша комп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а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 xml:space="preserve">нія, тим частіше вона розробляє чітку стратегію соціальної відповідальності. </w:t>
      </w:r>
      <w:r w:rsidR="006D1CDA" w:rsidRPr="002E43A0">
        <w:rPr>
          <w:spacing w:val="-2"/>
          <w:sz w:val="28"/>
          <w:szCs w:val="28"/>
          <w:lang w:val="uk-UA"/>
        </w:rPr>
        <w:lastRenderedPageBreak/>
        <w:t>Системно до цього питання підходять 66% великих ФП, у той час як серед н</w:t>
      </w:r>
      <w:r w:rsidR="006D1CDA" w:rsidRPr="002E43A0">
        <w:rPr>
          <w:spacing w:val="-2"/>
          <w:sz w:val="28"/>
          <w:szCs w:val="28"/>
          <w:lang w:val="uk-UA"/>
        </w:rPr>
        <w:t>е</w:t>
      </w:r>
      <w:r w:rsidR="006D1CDA" w:rsidRPr="002E43A0">
        <w:rPr>
          <w:spacing w:val="-2"/>
          <w:sz w:val="28"/>
          <w:szCs w:val="28"/>
          <w:lang w:val="uk-UA"/>
        </w:rPr>
        <w:t xml:space="preserve">великих і середніх компаній цей показник складає 30-40%. 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У 47 % випадків витрати на соціальні проекти оплачує сама компанія.</w:t>
      </w:r>
      <w:r w:rsidR="006D1CDA" w:rsidRPr="002E43A0">
        <w:rPr>
          <w:spacing w:val="-2"/>
          <w:sz w:val="28"/>
          <w:szCs w:val="28"/>
          <w:lang w:val="uk-UA"/>
        </w:rPr>
        <w:t>Ще чверть компаній орі</w:t>
      </w:r>
      <w:r w:rsidR="006D1CDA" w:rsidRPr="002E43A0">
        <w:rPr>
          <w:spacing w:val="-2"/>
          <w:sz w:val="28"/>
          <w:szCs w:val="28"/>
          <w:lang w:val="uk-UA"/>
        </w:rPr>
        <w:t>є</w:t>
      </w:r>
      <w:r w:rsidR="006D1CDA" w:rsidRPr="002E43A0">
        <w:rPr>
          <w:spacing w:val="-2"/>
          <w:sz w:val="28"/>
          <w:szCs w:val="28"/>
          <w:lang w:val="uk-UA"/>
        </w:rPr>
        <w:t>нтована на посильну допомогу співробітників (найчастіше такий формат у благодійних проектів), 17% компаній реалізують соціальні проекти, залучаючи благодійні організації, державні органи та органи місцевого самоврядування. А ось 10 % компаній знають – бути корисним можна і без грошей, винятково за допомогою волонтерської діяльності або, наприклад, інформаційної підтр</w:t>
      </w:r>
      <w:r w:rsidR="006D1CDA" w:rsidRPr="002E43A0">
        <w:rPr>
          <w:spacing w:val="-2"/>
          <w:sz w:val="28"/>
          <w:szCs w:val="28"/>
          <w:lang w:val="uk-UA"/>
        </w:rPr>
        <w:t>и</w:t>
      </w:r>
      <w:r w:rsidR="006D1CDA" w:rsidRPr="002E43A0">
        <w:rPr>
          <w:spacing w:val="-2"/>
          <w:sz w:val="28"/>
          <w:szCs w:val="28"/>
          <w:lang w:val="uk-UA"/>
        </w:rPr>
        <w:t xml:space="preserve">мки. Форми соціальних програм, які застосовують вітчизняні фармвиробники, наведені на рис. </w:t>
      </w:r>
      <w:r w:rsidR="006D1CDA">
        <w:rPr>
          <w:spacing w:val="-2"/>
          <w:sz w:val="28"/>
          <w:szCs w:val="28"/>
          <w:lang w:val="uk-UA"/>
        </w:rPr>
        <w:t>1.</w:t>
      </w:r>
      <w:r w:rsidR="006D1CDA" w:rsidRPr="002E43A0">
        <w:rPr>
          <w:spacing w:val="-2"/>
          <w:sz w:val="28"/>
          <w:szCs w:val="28"/>
          <w:lang w:val="uk-UA"/>
        </w:rPr>
        <w:t xml:space="preserve">2. 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Дані були отримані в результаті опитування зареєстров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а</w:t>
      </w:r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 xml:space="preserve">них користувачів сайту </w:t>
      </w:r>
      <w:hyperlink r:id="rId21" w:history="1">
        <w:r w:rsidR="006D1CDA" w:rsidRPr="002E43A0">
          <w:rPr>
            <w:rStyle w:val="ad"/>
            <w:color w:val="auto"/>
            <w:spacing w:val="-2"/>
            <w:sz w:val="28"/>
            <w:szCs w:val="28"/>
            <w:u w:val="none"/>
            <w:bdr w:val="none" w:sz="0" w:space="0" w:color="auto" w:frame="1"/>
            <w:lang w:val="uk-UA"/>
          </w:rPr>
          <w:t>hh.ua</w:t>
        </w:r>
      </w:hyperlink>
      <w:r w:rsidR="006D1CDA" w:rsidRPr="002E43A0">
        <w:rPr>
          <w:rStyle w:val="af3"/>
          <w:b w:val="0"/>
          <w:spacing w:val="-2"/>
          <w:sz w:val="28"/>
          <w:szCs w:val="28"/>
          <w:bdr w:val="none" w:sz="0" w:space="0" w:color="auto" w:frame="1"/>
          <w:lang w:val="uk-UA"/>
        </w:rPr>
        <w:t>, проведеного у вересні 2013 року. В опитуванні брали участь 830 респондентів з різних регіонів України.</w:t>
      </w:r>
    </w:p>
    <w:p w:rsidR="006D1CDA" w:rsidRPr="002E43F0" w:rsidRDefault="008E0160" w:rsidP="002A7D64">
      <w:pPr>
        <w:pStyle w:val="ae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5362575" cy="3600450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D1CDA" w:rsidRPr="005B0DA5" w:rsidRDefault="006D1CDA" w:rsidP="00845B6D">
      <w:pPr>
        <w:pStyle w:val="ae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5B0DA5">
        <w:rPr>
          <w:sz w:val="28"/>
          <w:szCs w:val="28"/>
          <w:lang w:val="uk-UA"/>
        </w:rPr>
        <w:t>Рис. 1.2. Форми соціальних програм, які реалізують ФП</w:t>
      </w:r>
    </w:p>
    <w:p w:rsidR="006D1CDA" w:rsidRDefault="00493C69" w:rsidP="002E43A0">
      <w:pPr>
        <w:pStyle w:val="ae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50" type="#_x0000_t202" style="position:absolute;left:0;text-align:left;margin-left:223.95pt;margin-top:113.35pt;width:32.25pt;height:24pt;z-index:251672576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14</w:t>
                  </w:r>
                </w:p>
              </w:txbxContent>
            </v:textbox>
          </v:shape>
        </w:pict>
      </w:r>
      <w:r w:rsidR="006D1CDA" w:rsidRPr="005B0DA5">
        <w:rPr>
          <w:sz w:val="28"/>
          <w:szCs w:val="28"/>
          <w:lang w:val="uk-UA"/>
        </w:rPr>
        <w:t>Отже</w:t>
      </w:r>
      <w:r w:rsidR="006D1CDA" w:rsidRPr="002E43F0">
        <w:rPr>
          <w:sz w:val="28"/>
          <w:szCs w:val="28"/>
          <w:lang w:val="uk-UA"/>
        </w:rPr>
        <w:t xml:space="preserve">, проведений аналіз дозволив виявити певні недоліки в управлінні </w:t>
      </w:r>
      <w:r w:rsidR="006D1CDA">
        <w:rPr>
          <w:sz w:val="28"/>
          <w:szCs w:val="28"/>
          <w:lang w:val="uk-UA"/>
        </w:rPr>
        <w:t>соціальною відповідальністю</w:t>
      </w:r>
      <w:r w:rsidR="006D1CDA" w:rsidRPr="002E43F0">
        <w:rPr>
          <w:sz w:val="28"/>
          <w:szCs w:val="28"/>
          <w:lang w:val="uk-UA"/>
        </w:rPr>
        <w:t xml:space="preserve"> на </w:t>
      </w:r>
      <w:r w:rsidR="006D1CDA">
        <w:rPr>
          <w:sz w:val="28"/>
          <w:szCs w:val="28"/>
          <w:lang w:val="uk-UA"/>
        </w:rPr>
        <w:t>ФП</w:t>
      </w:r>
      <w:r w:rsidR="006D1CDA" w:rsidRPr="002E43F0">
        <w:rPr>
          <w:sz w:val="28"/>
          <w:szCs w:val="28"/>
          <w:lang w:val="uk-UA"/>
        </w:rPr>
        <w:t>, які суттєво ускладнюють процес впр</w:t>
      </w:r>
      <w:r w:rsidR="006D1CDA" w:rsidRPr="002E43F0">
        <w:rPr>
          <w:sz w:val="28"/>
          <w:szCs w:val="28"/>
          <w:lang w:val="uk-UA"/>
        </w:rPr>
        <w:t>о</w:t>
      </w:r>
      <w:r w:rsidR="006D1CDA" w:rsidRPr="002E43F0">
        <w:rPr>
          <w:sz w:val="28"/>
          <w:szCs w:val="28"/>
          <w:lang w:val="uk-UA"/>
        </w:rPr>
        <w:t xml:space="preserve">вадження систем менеджменту </w:t>
      </w:r>
      <w:r w:rsidR="006D1CDA" w:rsidRPr="005B0DA5">
        <w:rPr>
          <w:sz w:val="28"/>
          <w:szCs w:val="28"/>
          <w:lang w:val="uk-UA"/>
        </w:rPr>
        <w:t>якості та знижують їхню ефективність. Це обумовлює необхідність удосконалення існуючих теоретичних засад упра</w:t>
      </w:r>
      <w:r w:rsidR="006D1CDA" w:rsidRPr="005B0DA5">
        <w:rPr>
          <w:sz w:val="28"/>
          <w:szCs w:val="28"/>
          <w:lang w:val="uk-UA"/>
        </w:rPr>
        <w:t>в</w:t>
      </w:r>
      <w:r w:rsidR="006D1CDA" w:rsidRPr="005B0DA5">
        <w:rPr>
          <w:sz w:val="28"/>
          <w:szCs w:val="28"/>
          <w:lang w:val="uk-UA"/>
        </w:rPr>
        <w:t>ління СВФБ та створення галузевої методики оцінки СВФБ.</w:t>
      </w:r>
    </w:p>
    <w:p w:rsidR="006D1CDA" w:rsidRPr="000F7365" w:rsidRDefault="006D1CDA" w:rsidP="009E3B0A">
      <w:pPr>
        <w:pStyle w:val="a7"/>
        <w:ind w:firstLine="0"/>
        <w:jc w:val="center"/>
        <w:rPr>
          <w:b/>
        </w:rPr>
      </w:pPr>
      <w:r w:rsidRPr="000F7365">
        <w:rPr>
          <w:b/>
        </w:rPr>
        <w:lastRenderedPageBreak/>
        <w:t xml:space="preserve">2. </w:t>
      </w:r>
      <w:r w:rsidR="0015412C" w:rsidRPr="000F7365">
        <w:rPr>
          <w:b/>
        </w:rPr>
        <w:t>МЕТОДИЧНІ ПІДХОДИ ДО ОЦІНКИ РІВНЯ СОЦІАЛЬНОЇ ВІДП</w:t>
      </w:r>
      <w:r w:rsidR="0015412C" w:rsidRPr="000F7365">
        <w:rPr>
          <w:b/>
        </w:rPr>
        <w:t>О</w:t>
      </w:r>
      <w:r w:rsidR="0015412C" w:rsidRPr="000F7365">
        <w:rPr>
          <w:b/>
        </w:rPr>
        <w:t xml:space="preserve">ВІДАЛЬНОСТІ </w:t>
      </w:r>
      <w:r w:rsidRPr="000F7365">
        <w:rPr>
          <w:b/>
        </w:rPr>
        <w:t>ФАРМАЦЕВТИЧНИХ ПІДПРИЄМСТВ</w:t>
      </w:r>
    </w:p>
    <w:p w:rsidR="006D1CDA" w:rsidRPr="000F7365" w:rsidRDefault="006D1CDA" w:rsidP="009E3B0A">
      <w:pPr>
        <w:pStyle w:val="a7"/>
      </w:pPr>
    </w:p>
    <w:p w:rsidR="006D1CDA" w:rsidRPr="000F7365" w:rsidRDefault="006D1CDA" w:rsidP="00D012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lang w:val="uk-UA"/>
        </w:rPr>
        <w:t>Сьогодні під концепцією СВФБ слід розуміти систему поглядів на у</w:t>
      </w:r>
      <w:r w:rsidRPr="000F7365">
        <w:rPr>
          <w:rFonts w:ascii="Times New Roman" w:hAnsi="Times New Roman"/>
          <w:sz w:val="28"/>
          <w:lang w:val="uk-UA"/>
        </w:rPr>
        <w:t>с</w:t>
      </w:r>
      <w:r w:rsidRPr="000F7365">
        <w:rPr>
          <w:rFonts w:ascii="Times New Roman" w:hAnsi="Times New Roman"/>
          <w:sz w:val="28"/>
          <w:lang w:val="uk-UA"/>
        </w:rPr>
        <w:t>відомлення</w:t>
      </w:r>
      <w:r w:rsidR="005B0DA5" w:rsidRPr="000F7365">
        <w:rPr>
          <w:rFonts w:ascii="Times New Roman" w:hAnsi="Times New Roman"/>
          <w:sz w:val="28"/>
          <w:lang w:val="uk-UA"/>
        </w:rPr>
        <w:t xml:space="preserve"> </w:t>
      </w:r>
      <w:r w:rsidRPr="000F7365">
        <w:rPr>
          <w:rFonts w:ascii="Times New Roman" w:hAnsi="Times New Roman"/>
          <w:sz w:val="28"/>
          <w:lang w:val="uk-UA"/>
        </w:rPr>
        <w:t>сутності, принципів,  методів,  підходів  до  формування,  оцінки  та  управління  соціальною відповідальністю на всіх рівнях управління фа</w:t>
      </w:r>
      <w:r w:rsidRPr="000F7365">
        <w:rPr>
          <w:rFonts w:ascii="Times New Roman" w:hAnsi="Times New Roman"/>
          <w:sz w:val="28"/>
          <w:lang w:val="uk-UA"/>
        </w:rPr>
        <w:t>р</w:t>
      </w:r>
      <w:r w:rsidRPr="000F7365">
        <w:rPr>
          <w:rFonts w:ascii="Times New Roman" w:hAnsi="Times New Roman"/>
          <w:sz w:val="28"/>
          <w:lang w:val="uk-UA"/>
        </w:rPr>
        <w:t xml:space="preserve">мацевтичною галуззю та суб’єктами фармацевтичного ринку. </w:t>
      </w:r>
      <w:r w:rsidRPr="000F7365">
        <w:rPr>
          <w:rFonts w:ascii="Times New Roman" w:hAnsi="Times New Roman"/>
          <w:sz w:val="28"/>
          <w:szCs w:val="28"/>
          <w:lang w:val="uk-UA"/>
        </w:rPr>
        <w:t>СВФБ пере</w:t>
      </w:r>
      <w:r w:rsidRPr="000F7365">
        <w:rPr>
          <w:rFonts w:ascii="Times New Roman" w:hAnsi="Times New Roman"/>
          <w:sz w:val="28"/>
          <w:szCs w:val="28"/>
          <w:lang w:val="uk-UA"/>
        </w:rPr>
        <w:t>д</w:t>
      </w:r>
      <w:r w:rsidRPr="000F7365">
        <w:rPr>
          <w:rFonts w:ascii="Times New Roman" w:hAnsi="Times New Roman"/>
          <w:sz w:val="28"/>
          <w:szCs w:val="28"/>
          <w:lang w:val="uk-UA"/>
        </w:rPr>
        <w:t>бачає: забезпечення населення якісними, ефективними, безпечними та дост</w:t>
      </w:r>
      <w:r w:rsidRPr="000F7365">
        <w:rPr>
          <w:rFonts w:ascii="Times New Roman" w:hAnsi="Times New Roman"/>
          <w:sz w:val="28"/>
          <w:szCs w:val="28"/>
          <w:lang w:val="uk-UA"/>
        </w:rPr>
        <w:t>у</w:t>
      </w:r>
      <w:r w:rsidRPr="000F7365">
        <w:rPr>
          <w:rFonts w:ascii="Times New Roman" w:hAnsi="Times New Roman"/>
          <w:sz w:val="28"/>
          <w:szCs w:val="28"/>
          <w:lang w:val="uk-UA"/>
        </w:rPr>
        <w:t>пними за ціною лікарськими засобами; створення умов для розвитку проф</w:t>
      </w:r>
      <w:r w:rsidRPr="000F7365">
        <w:rPr>
          <w:rFonts w:ascii="Times New Roman" w:hAnsi="Times New Roman"/>
          <w:sz w:val="28"/>
          <w:szCs w:val="28"/>
          <w:lang w:val="uk-UA"/>
        </w:rPr>
        <w:t>е</w:t>
      </w:r>
      <w:r w:rsidRPr="000F7365">
        <w:rPr>
          <w:rFonts w:ascii="Times New Roman" w:hAnsi="Times New Roman"/>
          <w:sz w:val="28"/>
          <w:szCs w:val="28"/>
          <w:lang w:val="uk-UA"/>
        </w:rPr>
        <w:t>сійної відповідальності працівників фармацевтичної галузі відповідно до в</w:t>
      </w:r>
      <w:r w:rsidRPr="000F7365">
        <w:rPr>
          <w:rFonts w:ascii="Times New Roman" w:hAnsi="Times New Roman"/>
          <w:sz w:val="28"/>
          <w:szCs w:val="28"/>
          <w:lang w:val="uk-UA"/>
        </w:rPr>
        <w:t>и</w:t>
      </w:r>
      <w:r w:rsidRPr="000F7365">
        <w:rPr>
          <w:rFonts w:ascii="Times New Roman" w:hAnsi="Times New Roman"/>
          <w:sz w:val="28"/>
          <w:szCs w:val="28"/>
          <w:lang w:val="uk-UA"/>
        </w:rPr>
        <w:t>мог соціальних норм; забезпечення умов екологічно чистого виробництва і сприяння поліпшенню екологічної ситуації в місцях присутності виробничих потужностей ФП; участь у регіональних соціальних програмах розвитку т</w:t>
      </w:r>
      <w:r w:rsidRPr="000F7365">
        <w:rPr>
          <w:rFonts w:ascii="Times New Roman" w:hAnsi="Times New Roman"/>
          <w:sz w:val="28"/>
          <w:szCs w:val="28"/>
          <w:lang w:val="uk-UA"/>
        </w:rPr>
        <w:t>е</w:t>
      </w:r>
      <w:r w:rsidRPr="000F7365">
        <w:rPr>
          <w:rFonts w:ascii="Times New Roman" w:hAnsi="Times New Roman"/>
          <w:sz w:val="28"/>
          <w:szCs w:val="28"/>
          <w:lang w:val="uk-UA"/>
        </w:rPr>
        <w:t>риторій і реалізацію власних соціальних проектів. Складовими СВФБ сьог</w:t>
      </w:r>
      <w:r w:rsidRPr="000F7365">
        <w:rPr>
          <w:rFonts w:ascii="Times New Roman" w:hAnsi="Times New Roman"/>
          <w:sz w:val="28"/>
          <w:szCs w:val="28"/>
          <w:lang w:val="uk-UA"/>
        </w:rPr>
        <w:t>о</w:t>
      </w:r>
      <w:r w:rsidRPr="000F7365">
        <w:rPr>
          <w:rFonts w:ascii="Times New Roman" w:hAnsi="Times New Roman"/>
          <w:sz w:val="28"/>
          <w:szCs w:val="28"/>
          <w:lang w:val="uk-UA"/>
        </w:rPr>
        <w:t>дні є: відповідальність перед пацієнтами та споживачами за своєчасне забе</w:t>
      </w:r>
      <w:r w:rsidRPr="000F7365">
        <w:rPr>
          <w:rFonts w:ascii="Times New Roman" w:hAnsi="Times New Roman"/>
          <w:sz w:val="28"/>
          <w:szCs w:val="28"/>
          <w:lang w:val="uk-UA"/>
        </w:rPr>
        <w:t>з</w:t>
      </w:r>
      <w:r w:rsidRPr="000F7365">
        <w:rPr>
          <w:rFonts w:ascii="Times New Roman" w:hAnsi="Times New Roman"/>
          <w:sz w:val="28"/>
          <w:szCs w:val="28"/>
          <w:lang w:val="uk-UA"/>
        </w:rPr>
        <w:t>печення ефективними, безпечними та доступними за ціною</w:t>
      </w:r>
      <w:r w:rsidR="005B0DA5" w:rsidRPr="000F7365">
        <w:rPr>
          <w:rFonts w:ascii="Times New Roman" w:hAnsi="Times New Roman"/>
          <w:sz w:val="28"/>
          <w:szCs w:val="28"/>
          <w:lang w:val="uk-UA"/>
        </w:rPr>
        <w:t xml:space="preserve"> лікарських зас</w:t>
      </w:r>
      <w:r w:rsidR="005B0DA5" w:rsidRPr="000F7365">
        <w:rPr>
          <w:rFonts w:ascii="Times New Roman" w:hAnsi="Times New Roman"/>
          <w:sz w:val="28"/>
          <w:szCs w:val="28"/>
          <w:lang w:val="uk-UA"/>
        </w:rPr>
        <w:t>о</w:t>
      </w:r>
      <w:r w:rsidR="005B0DA5" w:rsidRPr="000F7365">
        <w:rPr>
          <w:rFonts w:ascii="Times New Roman" w:hAnsi="Times New Roman"/>
          <w:sz w:val="28"/>
          <w:szCs w:val="28"/>
          <w:lang w:val="uk-UA"/>
        </w:rPr>
        <w:t>бів (</w:t>
      </w:r>
      <w:r w:rsidRPr="000F7365">
        <w:rPr>
          <w:rFonts w:ascii="Times New Roman" w:hAnsi="Times New Roman"/>
          <w:sz w:val="28"/>
          <w:szCs w:val="28"/>
          <w:lang w:val="uk-UA"/>
        </w:rPr>
        <w:t>ЛЗ</w:t>
      </w:r>
      <w:r w:rsidR="005B0DA5" w:rsidRPr="000F7365">
        <w:rPr>
          <w:rFonts w:ascii="Times New Roman" w:hAnsi="Times New Roman"/>
          <w:sz w:val="28"/>
          <w:szCs w:val="28"/>
          <w:lang w:val="uk-UA"/>
        </w:rPr>
        <w:t>)</w:t>
      </w:r>
      <w:r w:rsidRPr="000F7365">
        <w:rPr>
          <w:rFonts w:ascii="Times New Roman" w:hAnsi="Times New Roman"/>
          <w:sz w:val="28"/>
          <w:szCs w:val="28"/>
          <w:lang w:val="uk-UA"/>
        </w:rPr>
        <w:t>; відповідальність за екологічну безпеку перед місцевим співтовари</w:t>
      </w:r>
      <w:r w:rsidRPr="000F7365">
        <w:rPr>
          <w:rFonts w:ascii="Times New Roman" w:hAnsi="Times New Roman"/>
          <w:sz w:val="28"/>
          <w:szCs w:val="28"/>
          <w:lang w:val="uk-UA"/>
        </w:rPr>
        <w:t>с</w:t>
      </w:r>
      <w:r w:rsidRPr="000F7365">
        <w:rPr>
          <w:rFonts w:ascii="Times New Roman" w:hAnsi="Times New Roman"/>
          <w:sz w:val="28"/>
          <w:szCs w:val="28"/>
          <w:lang w:val="uk-UA"/>
        </w:rPr>
        <w:t>твом; відповідальність за нормотворчу діяльність та сприяння розвитку пр</w:t>
      </w:r>
      <w:r w:rsidRPr="000F7365">
        <w:rPr>
          <w:rFonts w:ascii="Times New Roman" w:hAnsi="Times New Roman"/>
          <w:sz w:val="28"/>
          <w:szCs w:val="28"/>
          <w:lang w:val="uk-UA"/>
        </w:rPr>
        <w:t>о</w:t>
      </w:r>
      <w:r w:rsidRPr="000F7365">
        <w:rPr>
          <w:rFonts w:ascii="Times New Roman" w:hAnsi="Times New Roman"/>
          <w:sz w:val="28"/>
          <w:szCs w:val="28"/>
          <w:lang w:val="uk-UA"/>
        </w:rPr>
        <w:t>фесійної та вищої освіти; відповідальність перед бізнес-середовищем (пост</w:t>
      </w:r>
      <w:r w:rsidRPr="000F7365">
        <w:rPr>
          <w:rFonts w:ascii="Times New Roman" w:hAnsi="Times New Roman"/>
          <w:sz w:val="28"/>
          <w:szCs w:val="28"/>
          <w:lang w:val="uk-UA"/>
        </w:rPr>
        <w:t>а</w:t>
      </w:r>
      <w:r w:rsidRPr="000F7365">
        <w:rPr>
          <w:rFonts w:ascii="Times New Roman" w:hAnsi="Times New Roman"/>
          <w:sz w:val="28"/>
          <w:szCs w:val="28"/>
          <w:lang w:val="uk-UA"/>
        </w:rPr>
        <w:t>чальниками; інвесторами; бізнес-партнерами; податковими та фінансово-кредитними установами; конкурентами); відповідальність перед суб’єктами системи охорони здоров’я (перед лікувальними закладами, перед лікарями, фармацевтами та провізорами); відповідальність перед суспільством, сусп</w:t>
      </w:r>
      <w:r w:rsidRPr="000F7365">
        <w:rPr>
          <w:rFonts w:ascii="Times New Roman" w:hAnsi="Times New Roman"/>
          <w:sz w:val="28"/>
          <w:szCs w:val="28"/>
          <w:lang w:val="uk-UA"/>
        </w:rPr>
        <w:t>і</w:t>
      </w:r>
      <w:r w:rsidRPr="000F7365">
        <w:rPr>
          <w:rFonts w:ascii="Times New Roman" w:hAnsi="Times New Roman"/>
          <w:sz w:val="28"/>
          <w:szCs w:val="28"/>
          <w:lang w:val="uk-UA"/>
        </w:rPr>
        <w:t>льними організаціями та засобами масової інформації;відповідальність перед персоналом та профспілками; відповідальність перед акціонерами та власн</w:t>
      </w:r>
      <w:r w:rsidRPr="000F7365">
        <w:rPr>
          <w:rFonts w:ascii="Times New Roman" w:hAnsi="Times New Roman"/>
          <w:sz w:val="28"/>
          <w:szCs w:val="28"/>
          <w:lang w:val="uk-UA"/>
        </w:rPr>
        <w:t>и</w:t>
      </w:r>
      <w:r w:rsidRPr="000F7365">
        <w:rPr>
          <w:rFonts w:ascii="Times New Roman" w:hAnsi="Times New Roman"/>
          <w:sz w:val="28"/>
          <w:szCs w:val="28"/>
          <w:lang w:val="uk-UA"/>
        </w:rPr>
        <w:t>ками, які реалізуються як у вигляді внутрішньої та зовнішньої відповідальн</w:t>
      </w:r>
      <w:r w:rsidRPr="000F7365">
        <w:rPr>
          <w:rFonts w:ascii="Times New Roman" w:hAnsi="Times New Roman"/>
          <w:sz w:val="28"/>
          <w:szCs w:val="28"/>
          <w:lang w:val="uk-UA"/>
        </w:rPr>
        <w:t>о</w:t>
      </w:r>
      <w:r w:rsidRPr="000F7365">
        <w:rPr>
          <w:rFonts w:ascii="Times New Roman" w:hAnsi="Times New Roman"/>
          <w:sz w:val="28"/>
          <w:szCs w:val="28"/>
          <w:lang w:val="uk-UA"/>
        </w:rPr>
        <w:t>сті з метою забезпечення ССЕР.</w:t>
      </w:r>
    </w:p>
    <w:p w:rsidR="006D1CDA" w:rsidRPr="000F7365" w:rsidRDefault="00493C69" w:rsidP="00D22BA1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1" type="#_x0000_t202" style="position:absolute;left:0;text-align:left;margin-left:222.45pt;margin-top:68.3pt;width:32.25pt;height:24pt;z-index:251673600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xbxContent>
            </v:textbox>
          </v:shape>
        </w:pic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Важливим напрямком у формуванні концепції СВФБ є її оцінка. Запр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о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понована система оцінки СВФБ наведена на рис. 2.1. Необхідність обґрунт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у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вання показників, які характеризують СВФБ, можна пояснити тим, що врах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о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lastRenderedPageBreak/>
        <w:t>вуючи багатогранність соціально орієнтованої діяльності ФП, її можна аде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к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ватно оцінити тільки за допомогою науково-обґрунтованої системи показн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и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ків, вибір яких визначається комплексом завдань та відбиває взаємозв’язок мети оцінки СВФБ з метою управління ФП. </w:t>
      </w:r>
    </w:p>
    <w:p w:rsidR="006D1CDA" w:rsidRPr="000F7365" w:rsidRDefault="006D1CDA" w:rsidP="005B0DA5">
      <w:pPr>
        <w:tabs>
          <w:tab w:val="left" w:pos="1340"/>
        </w:tabs>
        <w:spacing w:after="0" w:line="360" w:lineRule="auto"/>
        <w:jc w:val="center"/>
        <w:rPr>
          <w:rFonts w:ascii="Times New Roman" w:hAnsi="Times New Roman"/>
          <w:spacing w:val="-4"/>
          <w:sz w:val="28"/>
          <w:szCs w:val="28"/>
          <w:lang w:val="uk-UA" w:eastAsia="uk-UA"/>
        </w:rPr>
      </w:pPr>
      <w:r w:rsidRPr="000F7365">
        <w:rPr>
          <w:rFonts w:ascii="Times New Roman" w:hAnsi="Times New Roman"/>
          <w:sz w:val="28"/>
        </w:rPr>
        <w:object w:dxaOrig="11396" w:dyaOrig="108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5pt;height:407.25pt" o:ole="">
            <v:imagedata r:id="rId23" o:title=""/>
          </v:shape>
          <o:OLEObject Type="Embed" ProgID="Visio.Drawing.11" ShapeID="_x0000_i1025" DrawAspect="Content" ObjectID="_1546696496" r:id="rId24"/>
        </w:object>
      </w:r>
      <w:r w:rsidRPr="000F7365">
        <w:rPr>
          <w:rFonts w:ascii="Times New Roman" w:hAnsi="Times New Roman"/>
          <w:spacing w:val="-4"/>
          <w:sz w:val="28"/>
          <w:szCs w:val="28"/>
          <w:lang w:val="uk-UA"/>
        </w:rPr>
        <w:t xml:space="preserve">Рис. 2.1. </w:t>
      </w:r>
      <w:r w:rsidRPr="000F7365">
        <w:rPr>
          <w:rFonts w:ascii="Times New Roman" w:hAnsi="Times New Roman"/>
          <w:spacing w:val="-4"/>
          <w:sz w:val="28"/>
          <w:szCs w:val="28"/>
          <w:lang w:val="uk-UA" w:eastAsia="uk-UA"/>
        </w:rPr>
        <w:t>Система оцінки соціальної відповідальності фармацевтичного бізнесу</w:t>
      </w:r>
    </w:p>
    <w:p w:rsidR="000F7365" w:rsidRDefault="000F7365" w:rsidP="002E43A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CDA" w:rsidRPr="000F7365" w:rsidRDefault="00493C69" w:rsidP="002E43A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18"/>
          <w:lang w:val="uk-UA"/>
        </w:rPr>
      </w:pPr>
      <w:r w:rsidRPr="00493C69">
        <w:rPr>
          <w:rFonts w:ascii="Times New Roman" w:hAnsi="Times New Roman"/>
          <w:noProof/>
          <w:sz w:val="28"/>
          <w:szCs w:val="28"/>
        </w:rPr>
        <w:pict>
          <v:shape id="_x0000_s1052" type="#_x0000_t202" style="position:absolute;left:0;text-align:left;margin-left:217.95pt;margin-top:163pt;width:32.25pt;height:24pt;z-index:251674624" stroked="f">
            <v:textbox>
              <w:txbxContent>
                <w:p w:rsidR="008614DA" w:rsidRPr="00CD0445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Для здійснення оцінки СВФБ обґрунтовані вимоги до показників, які будуть використовуватись у розрахунках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: 1) придатність, тобто дійсність в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и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міру показниками того, для чого вони призначаються; 2) правильність визн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а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чення стану об’єкту за допомогою відібраних показників; 3) точність, тобто показники повинні постійно забезпечувати об’єктивні результати; 4) наді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й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 xml:space="preserve">ність, тобто очікувані помилки або відхилення у розрахунках повинні бути мінімальні; 5) повнота та вичерпний характер, тобто сукупність показників 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lastRenderedPageBreak/>
        <w:t>повинна вичерпно відбивати всі змінні, які піддаються вимірюванню; 6) ун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і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кальність, конкретні показники повинні бути унікальними та не імітувати вимірників, які є надлишковими чи перетинаються. Як правило, в процесі аналізу, слід прагнути до одного узагальнюючого показника для кожної вла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с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тивості аналізованого об’єкту. Кількість показників при цьому повинна бути мінімальною, але достатньою для об’єктивної оцінки діяльності відповідно визначеним функціям; 7) показники та система оцінки повинні бути прост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и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ми і в той же час змістовними; 8) показники мають бути кількісними у нез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а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лежності від того, абсолютні вони чи відносні; 9) показники повинні відпов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і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дати вимогам оцінки, а також забезпечувати</w:t>
      </w:r>
      <w:r w:rsidR="005B0DA5" w:rsidRPr="000F7365">
        <w:rPr>
          <w:rFonts w:ascii="Times New Roman" w:hAnsi="Times New Roman"/>
          <w:sz w:val="28"/>
          <w:szCs w:val="18"/>
          <w:lang w:val="uk-UA"/>
        </w:rPr>
        <w:t xml:space="preserve"> 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необхідну взаємозалежність з показниками виробничо-господарської діяльності ФП; 10) порівняльна зда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т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ність, тобто показники повинні порівнюватись у динаміці за одним об’єктом дослідження та між значною кількість об’єктів.</w:t>
      </w:r>
      <w:r w:rsidR="005B0DA5" w:rsidRPr="000F7365">
        <w:rPr>
          <w:rFonts w:ascii="Times New Roman" w:hAnsi="Times New Roman"/>
          <w:sz w:val="28"/>
          <w:szCs w:val="18"/>
          <w:lang w:val="uk-UA"/>
        </w:rPr>
        <w:t xml:space="preserve"> 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Враховуючи ці вимоги, поп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е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редньо була сформована загальна сукупність з локальних показників, які х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>а</w:t>
      </w:r>
      <w:r w:rsidR="006D1CDA" w:rsidRPr="000F7365">
        <w:rPr>
          <w:rFonts w:ascii="Times New Roman" w:hAnsi="Times New Roman"/>
          <w:sz w:val="28"/>
          <w:szCs w:val="18"/>
          <w:lang w:val="uk-UA"/>
        </w:rPr>
        <w:t xml:space="preserve">рактеризують СВФБ за всіма її складовими. </w:t>
      </w:r>
    </w:p>
    <w:p w:rsidR="006D1CDA" w:rsidRPr="000E2BE5" w:rsidRDefault="00493C69" w:rsidP="00DE1A76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493C69">
        <w:rPr>
          <w:rFonts w:ascii="Times New Roman" w:hAnsi="Times New Roman"/>
          <w:noProof/>
          <w:spacing w:val="-2"/>
          <w:sz w:val="28"/>
          <w:szCs w:val="18"/>
        </w:rPr>
        <w:pict>
          <v:shape id="_x0000_s1053" type="#_x0000_t202" style="position:absolute;left:0;text-align:left;margin-left:218.7pt;margin-top:357.95pt;width:32.25pt;height:24pt;z-index:251675648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17</w:t>
                  </w:r>
                </w:p>
              </w:txbxContent>
            </v:textbox>
          </v:shape>
        </w:pic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На першому етапі відбір локальних показників оцінки СВФБ було пр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о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ведено за допомогою експертного методу. В якості експертів виступали кері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в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ники ФП, керівники та працівники служб (відділів) управління персоналом, відділів стратегічного планування, відділів маркетингу, науковці. Загальна к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і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лькість експертів становила 130 осіб. Наступним етапом дослідження була п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е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ревірка рівня кореляції між локальними показниками оцінки СВФБ з метою вилучення з вибірки показників, які мають високий рівень зв’язку один з о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д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ним. Якщо коефіцієнт парної кореляції двох показників перевищує значення у 0,8, то за шкалою Чеддока це свідчить про дуже високий зв’язок між показн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>и</w:t>
      </w:r>
      <w:r w:rsidR="006D1CDA" w:rsidRPr="000E2BE5">
        <w:rPr>
          <w:rFonts w:ascii="Times New Roman" w:hAnsi="Times New Roman"/>
          <w:spacing w:val="-2"/>
          <w:sz w:val="28"/>
          <w:szCs w:val="18"/>
          <w:lang w:val="uk-UA"/>
        </w:rPr>
        <w:t xml:space="preserve">ками та недоцільність їх одночасного використання, тобто один з них повинен виключатися з сукупності. Вибір в середині пари показників здійснювався на користь того показника, який не мав, або мав меншу кількість високих значень кореляції з рештою показників сукупності. </w:t>
      </w:r>
      <w:r w:rsidR="006D1CDA" w:rsidRPr="000E2BE5">
        <w:rPr>
          <w:rFonts w:ascii="Times New Roman" w:hAnsi="Times New Roman"/>
          <w:spacing w:val="-2"/>
          <w:sz w:val="28"/>
          <w:szCs w:val="28"/>
          <w:lang w:val="uk-UA"/>
        </w:rPr>
        <w:t xml:space="preserve">По результатах таких розрахунків відібрані 46 локальних показника для оцінки рівня СВФБ (рис. 2.2). </w:t>
      </w:r>
    </w:p>
    <w:p w:rsidR="006D1CDA" w:rsidRPr="000F7365" w:rsidRDefault="006D1CDA" w:rsidP="001D5A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</w:rPr>
        <w:object w:dxaOrig="11758" w:dyaOrig="12359">
          <v:shape id="_x0000_i1026" type="#_x0000_t75" style="width:464.25pt;height:482.25pt" o:ole="">
            <v:imagedata r:id="rId25" o:title=""/>
          </v:shape>
          <o:OLEObject Type="Embed" ProgID="Visio.Drawing.11" ShapeID="_x0000_i1026" DrawAspect="Content" ObjectID="_1546696497" r:id="rId26"/>
        </w:object>
      </w:r>
    </w:p>
    <w:p w:rsidR="006D1CDA" w:rsidRPr="000F7365" w:rsidRDefault="006D1CDA" w:rsidP="000C5354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>Рис. 2.2. Запропонована система показників оцінки СВФБ</w:t>
      </w:r>
    </w:p>
    <w:p w:rsidR="006D1CDA" w:rsidRPr="000F7365" w:rsidRDefault="006D1CDA" w:rsidP="00D22BA1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D1CDA" w:rsidRPr="000F7365" w:rsidRDefault="006D1CDA" w:rsidP="002E43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 xml:space="preserve">Розроблена та формалізована </w:t>
      </w:r>
      <w:r w:rsidRPr="000F73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методика оцінки рівня СВФБ, яка засн</w:t>
      </w:r>
      <w:r w:rsidRPr="000F73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Pr="000F73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вана на використанні інтегрального підходу із використанням таксономічн</w:t>
      </w:r>
      <w:r w:rsidRPr="000F73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Pr="000F73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 аналізу. За даним підходом СВФБ можна оцінити за формулою:</w:t>
      </w:r>
    </w:p>
    <w:p w:rsidR="006D1CDA" w:rsidRPr="000F7365" w:rsidRDefault="006D1CDA" w:rsidP="002E43A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position w:val="-14"/>
          <w:sz w:val="28"/>
          <w:szCs w:val="28"/>
          <w:lang w:val="uk-UA"/>
        </w:rPr>
        <w:object w:dxaOrig="4140" w:dyaOrig="380">
          <v:shape id="_x0000_i1027" type="#_x0000_t75" style="width:310.5pt;height:25.5pt" o:ole="">
            <v:imagedata r:id="rId27" o:title=""/>
          </v:shape>
          <o:OLEObject Type="Embed" ProgID="Equation.3" ShapeID="_x0000_i1027" DrawAspect="Content" ObjectID="_1546696498" r:id="rId28"/>
        </w:object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                 (1)</w:t>
      </w:r>
    </w:p>
    <w:p w:rsidR="006D1CDA" w:rsidRPr="000F7365" w:rsidRDefault="00493C69" w:rsidP="002E43A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4" type="#_x0000_t202" style="position:absolute;left:0;text-align:left;margin-left:222.45pt;margin-top:83.25pt;width:32.25pt;height:24pt;z-index:251676672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5B0DA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18</w:t>
                  </w:r>
                </w:p>
              </w:txbxContent>
            </v:textbox>
          </v:shape>
        </w:pic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="006D1CDA" w:rsidRPr="000F7365">
        <w:rPr>
          <w:rFonts w:ascii="Times New Roman" w:hAnsi="Times New Roman"/>
          <w:i/>
          <w:sz w:val="28"/>
          <w:szCs w:val="28"/>
          <w:lang w:val="uk-UA"/>
        </w:rPr>
        <w:t>І</w:t>
      </w:r>
      <w:r w:rsidR="006D1CDA" w:rsidRPr="000F7365">
        <w:rPr>
          <w:rFonts w:ascii="Times New Roman" w:hAnsi="Times New Roman"/>
          <w:i/>
          <w:sz w:val="28"/>
          <w:szCs w:val="28"/>
          <w:vertAlign w:val="subscript"/>
          <w:lang w:val="uk-UA"/>
        </w:rPr>
        <w:t>СВФБ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– інтегральний показник рівня СВФБ; </w:t>
      </w:r>
      <w:r w:rsidR="006D1CDA" w:rsidRPr="000F7365">
        <w:rPr>
          <w:rFonts w:ascii="Times New Roman" w:hAnsi="Times New Roman"/>
          <w:i/>
          <w:sz w:val="28"/>
          <w:szCs w:val="28"/>
          <w:lang w:val="uk-UA"/>
        </w:rPr>
        <w:t>К</w:t>
      </w:r>
      <w:r w:rsidR="006D1CDA" w:rsidRPr="000F7365">
        <w:rPr>
          <w:rFonts w:ascii="Times New Roman" w:hAnsi="Times New Roman"/>
          <w:i/>
          <w:sz w:val="28"/>
          <w:szCs w:val="28"/>
          <w:vertAlign w:val="subscript"/>
          <w:lang w:val="uk-UA"/>
        </w:rPr>
        <w:t>ЯкЛЗ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  – комплексний показник </w:t>
      </w:r>
      <w:r w:rsidR="006D1CDA" w:rsidRPr="000F7365">
        <w:rPr>
          <w:rFonts w:ascii="Times New Roman" w:hAnsi="Times New Roman"/>
          <w:color w:val="000000"/>
          <w:sz w:val="28"/>
          <w:szCs w:val="28"/>
          <w:lang w:val="uk-UA"/>
        </w:rPr>
        <w:t>відповідальності за своєчасне забезпечення населення якісними, безпечними та доступними за ціною ЛЗ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6D1CDA" w:rsidRPr="000F7365">
        <w:rPr>
          <w:rFonts w:ascii="Times New Roman" w:hAnsi="Times New Roman"/>
          <w:i/>
          <w:sz w:val="28"/>
          <w:szCs w:val="28"/>
          <w:lang w:val="uk-UA"/>
        </w:rPr>
        <w:t>К</w:t>
      </w:r>
      <w:r w:rsidR="006D1CDA" w:rsidRPr="000F7365">
        <w:rPr>
          <w:rFonts w:ascii="Times New Roman" w:hAnsi="Times New Roman"/>
          <w:i/>
          <w:sz w:val="28"/>
          <w:szCs w:val="28"/>
          <w:vertAlign w:val="subscript"/>
          <w:lang w:val="uk-UA"/>
        </w:rPr>
        <w:t>НТ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  – комплексний показник відповідальності за 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lastRenderedPageBreak/>
        <w:t xml:space="preserve">нормотворчу діяльність та сприяння розвитку професійної та вищої освіти; </w:t>
      </w:r>
      <w:r w:rsidR="006D1CDA" w:rsidRPr="000F7365">
        <w:rPr>
          <w:rFonts w:ascii="Times New Roman" w:hAnsi="Times New Roman"/>
          <w:i/>
          <w:sz w:val="28"/>
          <w:szCs w:val="28"/>
          <w:lang w:val="uk-UA"/>
        </w:rPr>
        <w:t>К</w:t>
      </w:r>
      <w:r w:rsidR="006D1CDA" w:rsidRPr="000F7365">
        <w:rPr>
          <w:rFonts w:ascii="Times New Roman" w:hAnsi="Times New Roman"/>
          <w:i/>
          <w:sz w:val="28"/>
          <w:szCs w:val="28"/>
          <w:vertAlign w:val="subscript"/>
          <w:lang w:val="uk-UA"/>
        </w:rPr>
        <w:t>Ек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  – комплексний показник відповідальності за екологічну безпеку; </w:t>
      </w:r>
      <w:r w:rsidR="006D1CDA" w:rsidRPr="000F7365">
        <w:rPr>
          <w:rFonts w:ascii="Times New Roman" w:hAnsi="Times New Roman"/>
          <w:i/>
          <w:sz w:val="28"/>
          <w:szCs w:val="28"/>
          <w:lang w:val="uk-UA"/>
        </w:rPr>
        <w:t>К</w:t>
      </w:r>
      <w:r w:rsidR="006D1CDA" w:rsidRPr="000F7365">
        <w:rPr>
          <w:rFonts w:ascii="Times New Roman" w:hAnsi="Times New Roman"/>
          <w:i/>
          <w:sz w:val="28"/>
          <w:szCs w:val="28"/>
          <w:vertAlign w:val="subscript"/>
          <w:lang w:val="uk-UA"/>
        </w:rPr>
        <w:t>СТр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  – комплексний показник відповідальності перед персоналом та суспільством; </w:t>
      </w:r>
      <w:r w:rsidR="006D1CDA" w:rsidRPr="000F7365">
        <w:rPr>
          <w:rFonts w:ascii="Times New Roman" w:hAnsi="Times New Roman"/>
          <w:i/>
          <w:sz w:val="28"/>
          <w:szCs w:val="28"/>
          <w:lang w:val="uk-UA"/>
        </w:rPr>
        <w:t>К</w:t>
      </w:r>
      <w:r w:rsidR="006D1CDA" w:rsidRPr="000F7365">
        <w:rPr>
          <w:rFonts w:ascii="Times New Roman" w:hAnsi="Times New Roman"/>
          <w:i/>
          <w:sz w:val="28"/>
          <w:szCs w:val="28"/>
          <w:vertAlign w:val="subscript"/>
          <w:lang w:val="uk-UA"/>
        </w:rPr>
        <w:t>Акц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  – комплексний показник відповідальності перед акціонерами та власн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и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ками; </w:t>
      </w:r>
      <w:r w:rsidR="006D1CDA" w:rsidRPr="000E2BE5">
        <w:rPr>
          <w:rFonts w:ascii="Times New Roman" w:hAnsi="Times New Roman"/>
          <w:i/>
          <w:spacing w:val="-4"/>
          <w:sz w:val="28"/>
          <w:szCs w:val="28"/>
          <w:lang w:val="uk-UA"/>
        </w:rPr>
        <w:t>К</w:t>
      </w:r>
      <w:r w:rsidR="006D1CDA" w:rsidRPr="000E2BE5">
        <w:rPr>
          <w:rFonts w:ascii="Times New Roman" w:hAnsi="Times New Roman"/>
          <w:i/>
          <w:spacing w:val="-4"/>
          <w:sz w:val="28"/>
          <w:szCs w:val="28"/>
          <w:vertAlign w:val="subscript"/>
          <w:lang w:val="uk-UA"/>
        </w:rPr>
        <w:t>Бз</w:t>
      </w:r>
      <w:r w:rsidR="006D1CDA" w:rsidRPr="000E2BE5">
        <w:rPr>
          <w:rFonts w:ascii="Times New Roman" w:hAnsi="Times New Roman"/>
          <w:spacing w:val="-4"/>
          <w:sz w:val="28"/>
          <w:szCs w:val="28"/>
          <w:lang w:val="uk-UA"/>
        </w:rPr>
        <w:t xml:space="preserve"> – комплексний показник відповідальності перед бізнес-середовищем.</w:t>
      </w:r>
    </w:p>
    <w:p w:rsidR="006D1CDA" w:rsidRPr="000F7365" w:rsidRDefault="006D1CDA" w:rsidP="002E43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>На підставі відібраних показників розраховуються комплексні пока</w:t>
      </w:r>
      <w:r w:rsidRPr="000F7365">
        <w:rPr>
          <w:rFonts w:ascii="Times New Roman" w:hAnsi="Times New Roman"/>
          <w:sz w:val="28"/>
          <w:szCs w:val="28"/>
          <w:lang w:val="uk-UA"/>
        </w:rPr>
        <w:t>з</w:t>
      </w:r>
      <w:r w:rsidRPr="000F7365">
        <w:rPr>
          <w:rFonts w:ascii="Times New Roman" w:hAnsi="Times New Roman"/>
          <w:sz w:val="28"/>
          <w:szCs w:val="28"/>
          <w:lang w:val="uk-UA"/>
        </w:rPr>
        <w:t>ники за всіма складовими СВФБ. Методика комплексної оцінки СВФБ апр</w:t>
      </w:r>
      <w:r w:rsidRPr="000F7365">
        <w:rPr>
          <w:rFonts w:ascii="Times New Roman" w:hAnsi="Times New Roman"/>
          <w:sz w:val="28"/>
          <w:szCs w:val="28"/>
          <w:lang w:val="uk-UA"/>
        </w:rPr>
        <w:t>о</w:t>
      </w:r>
      <w:r w:rsidRPr="000F7365">
        <w:rPr>
          <w:rFonts w:ascii="Times New Roman" w:hAnsi="Times New Roman"/>
          <w:sz w:val="28"/>
          <w:szCs w:val="28"/>
          <w:lang w:val="uk-UA"/>
        </w:rPr>
        <w:t>бована на деяких ФП, результати розрахунку наведені у табл. 2.1. Методика оцінки рівня СВФБ доповнюється оцінкою синергетичного ефекту від збал</w:t>
      </w:r>
      <w:r w:rsidRPr="000F7365">
        <w:rPr>
          <w:rFonts w:ascii="Times New Roman" w:hAnsi="Times New Roman"/>
          <w:sz w:val="28"/>
          <w:szCs w:val="28"/>
          <w:lang w:val="uk-UA"/>
        </w:rPr>
        <w:t>а</w:t>
      </w:r>
      <w:r w:rsidRPr="000F7365">
        <w:rPr>
          <w:rFonts w:ascii="Times New Roman" w:hAnsi="Times New Roman"/>
          <w:sz w:val="28"/>
          <w:szCs w:val="28"/>
          <w:lang w:val="uk-UA"/>
        </w:rPr>
        <w:t>нсованого управління соціальною відповідальністю. Для розрахунку коефіц</w:t>
      </w:r>
      <w:r w:rsidRPr="000F7365">
        <w:rPr>
          <w:rFonts w:ascii="Times New Roman" w:hAnsi="Times New Roman"/>
          <w:sz w:val="28"/>
          <w:szCs w:val="28"/>
          <w:lang w:val="uk-UA"/>
        </w:rPr>
        <w:t>і</w:t>
      </w:r>
      <w:r w:rsidRPr="000F7365">
        <w:rPr>
          <w:rFonts w:ascii="Times New Roman" w:hAnsi="Times New Roman"/>
          <w:sz w:val="28"/>
          <w:szCs w:val="28"/>
          <w:lang w:val="uk-UA"/>
        </w:rPr>
        <w:t>єнту синергізму (К</w:t>
      </w:r>
      <w:r w:rsidRPr="000F7365">
        <w:rPr>
          <w:rFonts w:ascii="Times New Roman" w:hAnsi="Times New Roman"/>
          <w:sz w:val="28"/>
          <w:szCs w:val="28"/>
          <w:vertAlign w:val="subscript"/>
          <w:lang w:val="uk-UA"/>
        </w:rPr>
        <w:t>СИНЕРГ</w:t>
      </w:r>
      <w:r w:rsidRPr="000F7365">
        <w:rPr>
          <w:rFonts w:ascii="Times New Roman" w:hAnsi="Times New Roman"/>
          <w:sz w:val="28"/>
          <w:szCs w:val="28"/>
          <w:lang w:val="uk-UA"/>
        </w:rPr>
        <w:t>) запропонована формула:</w:t>
      </w:r>
    </w:p>
    <w:p w:rsidR="006D1CDA" w:rsidRPr="000F7365" w:rsidRDefault="006D1CDA" w:rsidP="002E43A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position w:val="-94"/>
          <w:sz w:val="28"/>
          <w:szCs w:val="28"/>
          <w:lang w:val="uk-UA"/>
        </w:rPr>
        <w:object w:dxaOrig="2079" w:dyaOrig="1359">
          <v:shape id="_x0000_i1028" type="#_x0000_t75" style="width:131.25pt;height:68.25pt" o:ole="">
            <v:imagedata r:id="rId29" o:title=""/>
          </v:shape>
          <o:OLEObject Type="Embed" ProgID="Equation.3" ShapeID="_x0000_i1028" DrawAspect="Content" ObjectID="_1546696499" r:id="rId30"/>
        </w:object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(2)</w:t>
      </w:r>
    </w:p>
    <w:p w:rsidR="006D1CDA" w:rsidRPr="000F7365" w:rsidRDefault="006D1CDA" w:rsidP="002E43A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0F7365">
        <w:rPr>
          <w:rFonts w:ascii="Times New Roman" w:hAnsi="Times New Roman"/>
          <w:i/>
          <w:iCs/>
          <w:sz w:val="28"/>
          <w:szCs w:val="28"/>
          <w:lang w:val="uk-UA"/>
        </w:rPr>
        <w:t>Т</w:t>
      </w:r>
      <w:r w:rsidRPr="000F7365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 xml:space="preserve">пр </w:t>
      </w:r>
      <w:r w:rsidRPr="000F7365">
        <w:rPr>
          <w:rFonts w:ascii="Times New Roman" w:hAnsi="Times New Roman"/>
          <w:i/>
          <w:iCs/>
          <w:sz w:val="28"/>
          <w:szCs w:val="28"/>
          <w:lang w:val="uk-UA"/>
        </w:rPr>
        <w:t>І</w:t>
      </w:r>
      <w:r w:rsidRPr="000F7365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>СВФБ</w:t>
      </w:r>
      <w:r w:rsidRPr="000F7365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 темп приросту інтегрального показника рівня СВФБ; </w:t>
      </w:r>
      <w:r w:rsidRPr="000F7365">
        <w:rPr>
          <w:rFonts w:ascii="Times New Roman" w:hAnsi="Times New Roman"/>
          <w:i/>
          <w:iCs/>
          <w:sz w:val="28"/>
          <w:szCs w:val="28"/>
          <w:lang w:val="uk-UA"/>
        </w:rPr>
        <w:t>Т</w:t>
      </w:r>
      <w:r w:rsidRPr="000F7365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 xml:space="preserve">пр </w:t>
      </w:r>
      <w:r w:rsidRPr="000F7365">
        <w:rPr>
          <w:rFonts w:ascii="Times New Roman" w:hAnsi="Times New Roman"/>
          <w:i/>
          <w:iCs/>
          <w:sz w:val="28"/>
          <w:szCs w:val="28"/>
          <w:lang w:val="uk-UA"/>
        </w:rPr>
        <w:t>К</w:t>
      </w:r>
      <w:r w:rsidRPr="000F7365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>і</w:t>
      </w:r>
      <w:r w:rsidRPr="000F7365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 темп приросту і-того комплексного показника за j-тою складовою СВФБ; </w:t>
      </w:r>
      <w:r w:rsidRPr="000F7365">
        <w:rPr>
          <w:rFonts w:ascii="Times New Roman" w:hAnsi="Times New Roman"/>
          <w:i/>
          <w:sz w:val="28"/>
          <w:szCs w:val="28"/>
          <w:lang w:val="uk-UA"/>
        </w:rPr>
        <w:t>j</w:t>
      </w:r>
      <w:r w:rsidRPr="000F7365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 кількість складових СВФБ.</w:t>
      </w:r>
    </w:p>
    <w:p w:rsidR="006D1CDA" w:rsidRPr="000F7365" w:rsidRDefault="006D1CDA" w:rsidP="002E43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>За допомогою програми Statistica 12.0 та програми Grafikus нами пр</w:t>
      </w:r>
      <w:r w:rsidRPr="000F7365">
        <w:rPr>
          <w:rFonts w:ascii="Times New Roman" w:hAnsi="Times New Roman"/>
          <w:sz w:val="28"/>
          <w:szCs w:val="28"/>
          <w:lang w:val="uk-UA"/>
        </w:rPr>
        <w:t>о</w:t>
      </w:r>
      <w:r w:rsidRPr="000F7365">
        <w:rPr>
          <w:rFonts w:ascii="Times New Roman" w:hAnsi="Times New Roman"/>
          <w:sz w:val="28"/>
          <w:szCs w:val="28"/>
          <w:lang w:val="uk-UA"/>
        </w:rPr>
        <w:t>ведений кластерний аналіз досліджуваних ФП за рівнем СВФБ. За результ</w:t>
      </w:r>
      <w:r w:rsidRPr="000F7365">
        <w:rPr>
          <w:rFonts w:ascii="Times New Roman" w:hAnsi="Times New Roman"/>
          <w:sz w:val="28"/>
          <w:szCs w:val="28"/>
          <w:lang w:val="uk-UA"/>
        </w:rPr>
        <w:t>а</w:t>
      </w:r>
      <w:r w:rsidRPr="000F7365">
        <w:rPr>
          <w:rFonts w:ascii="Times New Roman" w:hAnsi="Times New Roman"/>
          <w:sz w:val="28"/>
          <w:szCs w:val="28"/>
          <w:lang w:val="uk-UA"/>
        </w:rPr>
        <w:t>тами аналізу досліджувані ФП згруповані в 4 кластери (рис. 2.3).</w:t>
      </w:r>
    </w:p>
    <w:p w:rsidR="006D1CDA" w:rsidRPr="000F7365" w:rsidRDefault="00493C69" w:rsidP="000C53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5" type="#_x0000_t202" style="position:absolute;left:0;text-align:left;margin-left:220.2pt;margin-top:228.1pt;width:32.25pt;height:24pt;z-index:251677696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19</w:t>
                  </w:r>
                </w:p>
              </w:txbxContent>
            </v:textbox>
          </v:shape>
        </w:pic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Відповідно до кожного кластеру ФП повинна розроблятись стратегія управління їх СВФБ та визначатися шляхи їх подальшого розвитку. Впров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а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дження запропонованої</w:t>
      </w:r>
      <w:r w:rsidR="000E2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методики оцінки СВФБ дозволяє: визначити та оц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і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нити проблеми</w:t>
      </w:r>
      <w:r w:rsidR="000E2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у сфері СВФБ;створити засади ефективного менеджменту якості; визначити сукупність ресурсів, що можуть бути спрямовані ФП на з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а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безпечення соціально-відповідальної діяльності; розробити ефективну сист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е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му управління соціальною відповідальністю; забезпечити створення системи партнерських відносин із стейкхолдерами; впровадити принципи соціальної </w:t>
      </w:r>
      <w:r w:rsidR="006D1CDA" w:rsidRPr="000E2BE5">
        <w:rPr>
          <w:rFonts w:ascii="Times New Roman" w:hAnsi="Times New Roman"/>
          <w:spacing w:val="-4"/>
          <w:sz w:val="28"/>
          <w:szCs w:val="28"/>
          <w:lang w:val="uk-UA"/>
        </w:rPr>
        <w:t>відповідальності у фармацевтичній галузі;та запровадити практику відкритого</w:t>
      </w:r>
    </w:p>
    <w:p w:rsidR="006D1CDA" w:rsidRPr="000F7365" w:rsidRDefault="006D1CDA" w:rsidP="00D22BA1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lastRenderedPageBreak/>
        <w:t>Таблиця 2.1</w:t>
      </w:r>
    </w:p>
    <w:p w:rsidR="006D1CDA" w:rsidRPr="000F7365" w:rsidRDefault="006D1CDA" w:rsidP="00D22B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7365">
        <w:rPr>
          <w:rFonts w:ascii="Times New Roman" w:hAnsi="Times New Roman"/>
          <w:b/>
          <w:bCs/>
          <w:sz w:val="28"/>
          <w:szCs w:val="28"/>
          <w:lang w:val="uk-UA"/>
        </w:rPr>
        <w:t>Результати оцінки СВФБ на досліджуваних ФП України у 201</w:t>
      </w:r>
      <w:r w:rsidRPr="000F7365">
        <w:rPr>
          <w:rFonts w:ascii="Times New Roman" w:hAnsi="Times New Roman"/>
          <w:b/>
          <w:bCs/>
          <w:sz w:val="28"/>
          <w:szCs w:val="28"/>
        </w:rPr>
        <w:t>3</w:t>
      </w:r>
      <w:r w:rsidRPr="000F7365">
        <w:rPr>
          <w:rFonts w:ascii="Times New Roman" w:hAnsi="Times New Roman"/>
          <w:b/>
          <w:bCs/>
          <w:sz w:val="28"/>
          <w:szCs w:val="28"/>
          <w:lang w:val="uk-UA"/>
        </w:rPr>
        <w:t xml:space="preserve"> році</w:t>
      </w:r>
    </w:p>
    <w:tbl>
      <w:tblPr>
        <w:tblW w:w="9692" w:type="dxa"/>
        <w:jc w:val="center"/>
        <w:tblCellMar>
          <w:left w:w="0" w:type="dxa"/>
          <w:right w:w="0" w:type="dxa"/>
        </w:tblCellMar>
        <w:tblLook w:val="00A0"/>
      </w:tblPr>
      <w:tblGrid>
        <w:gridCol w:w="4316"/>
        <w:gridCol w:w="1184"/>
        <w:gridCol w:w="1206"/>
        <w:gridCol w:w="982"/>
        <w:gridCol w:w="2004"/>
      </w:tblGrid>
      <w:tr w:rsidR="006D1CDA" w:rsidRPr="000F7365" w:rsidTr="00FB5155">
        <w:trPr>
          <w:trHeight w:val="1298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1F62DF">
            <w:pPr>
              <w:tabs>
                <w:tab w:val="left" w:pos="3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Фармацевтичне підприємство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textDirection w:val="btLr"/>
            <w:vAlign w:val="center"/>
          </w:tcPr>
          <w:p w:rsidR="006D1CDA" w:rsidRPr="000F7365" w:rsidRDefault="006D1CDA" w:rsidP="001F6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Інтеграль-ний пока</w:t>
            </w: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ник СВФБ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textDirection w:val="btLr"/>
            <w:vAlign w:val="center"/>
          </w:tcPr>
          <w:p w:rsidR="006D1CDA" w:rsidRPr="000F7365" w:rsidRDefault="006D1CDA" w:rsidP="001F6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Коефіцієнт синергізму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textDirection w:val="btLr"/>
            <w:vAlign w:val="center"/>
          </w:tcPr>
          <w:p w:rsidR="006D1CDA" w:rsidRPr="000F7365" w:rsidRDefault="006D1CDA" w:rsidP="001F6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Номер </w:t>
            </w:r>
          </w:p>
          <w:p w:rsidR="006D1CDA" w:rsidRPr="000F7365" w:rsidRDefault="006D1CDA" w:rsidP="001F6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кластеру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1F6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Ранг (у межах групи з урах</w:t>
            </w: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ванням коефіц</w:t>
            </w: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0F73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єнту синергізму)</w:t>
            </w:r>
          </w:p>
        </w:tc>
      </w:tr>
      <w:tr w:rsidR="006D1CDA" w:rsidRPr="000F7365" w:rsidTr="00FB5155">
        <w:trPr>
          <w:cantSplit/>
          <w:trHeight w:val="164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tabs>
                <w:tab w:val="left" w:pos="3544"/>
              </w:tabs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9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Промислові фармацевтичні підприємства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ПАТ «Фармак»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0,79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Корпорація «Артеріум»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0,84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2,06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ПАТ НПЦ «Борщагівський ХФЗ»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0,64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ФФ «Дарниця»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0,73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1,47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ТОВ «ФК «Здоров’я»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0,63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1,14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ПАТ «Київський вітамінний завод»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0,54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ТОВ «Мікрофарм»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0,28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ТОВ «Тернофарм»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0,27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sz w:val="24"/>
                <w:szCs w:val="24"/>
              </w:rPr>
              <w:br w:type="page"/>
            </w: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ПрАТ «Лекхім-Харків»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0,47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ПАТ «Фармстандарт-Біолік»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0,48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Корпорація «Юрія-Фарм»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0,61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ТОВ «Такеда Україна»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0,88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6D1CDA" w:rsidRPr="000F7365" w:rsidTr="00FB5155">
        <w:trPr>
          <w:trHeight w:val="281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ТОВ «Тева Україна»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0,85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1,63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6D1CDA" w:rsidRPr="000F7365" w:rsidTr="00FB5155">
        <w:trPr>
          <w:trHeight w:val="281"/>
          <w:jc w:val="center"/>
        </w:trPr>
        <w:tc>
          <w:tcPr>
            <w:tcW w:w="9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Дистриб’юторські фармацевтичні компанії</w:t>
            </w:r>
          </w:p>
        </w:tc>
      </w:tr>
      <w:tr w:rsidR="006D1CDA" w:rsidRPr="000F7365" w:rsidTr="00FB5155">
        <w:trPr>
          <w:trHeight w:val="281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ТОВ «Артур-К»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0,63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6D1CDA" w:rsidRPr="000F7365" w:rsidTr="00FB5155">
        <w:trPr>
          <w:trHeight w:val="281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ТОВ «БаДМ»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0,62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6D1CDA" w:rsidRPr="000F7365" w:rsidTr="00FB5155">
        <w:trPr>
          <w:trHeight w:val="281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СП «Оптима-Фарм, ЛТД»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0,43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6D1CDA" w:rsidRPr="000F7365" w:rsidTr="00FB5155">
        <w:trPr>
          <w:trHeight w:val="281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ПТП МП фірма «Едельвейс»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0,42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6D1CDA" w:rsidRPr="000F7365" w:rsidTr="00FB5155">
        <w:trPr>
          <w:trHeight w:val="281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Компанія «Дельта Медикел»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0,76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3,08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9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Аптечні мережі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Мережа аптек «Мед Сервис Груп»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0,71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Мережа аптек «Гамма-55»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0,62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Мережа «Аптека низьких цін»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0,73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2,16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Мережа аптек «Здоров’я»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0,72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</w:rPr>
              <w:t>3,54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Мережа аптек «Леда»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0,52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Мережа аптек «9-1-1»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0,53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6D1CDA" w:rsidRPr="000F7365" w:rsidTr="00FB5155">
        <w:trPr>
          <w:trHeight w:val="276"/>
          <w:jc w:val="center"/>
        </w:trPr>
        <w:tc>
          <w:tcPr>
            <w:tcW w:w="4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Мережа «Аптека доброго дня»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0,65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6D1CDA" w:rsidRPr="000F7365" w:rsidRDefault="006D1CDA" w:rsidP="000E2BE5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36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</w:tbl>
    <w:p w:rsidR="001F62DF" w:rsidRPr="000F7365" w:rsidRDefault="001F62DF" w:rsidP="001F62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CDA" w:rsidRDefault="00493C69" w:rsidP="001F62D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3C69">
        <w:rPr>
          <w:rFonts w:ascii="Times New Roman" w:hAnsi="Times New Roman"/>
          <w:noProof/>
          <w:sz w:val="24"/>
          <w:szCs w:val="24"/>
        </w:rPr>
        <w:pict>
          <v:shape id="_x0000_s1056" type="#_x0000_t202" style="position:absolute;left:0;text-align:left;margin-left:217.2pt;margin-top:96.7pt;width:32.25pt;height:24pt;z-index:251678720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20</w:t>
                  </w:r>
                </w:p>
              </w:txbxContent>
            </v:textbox>
          </v:shape>
        </w:pict>
      </w:r>
      <w:r w:rsidR="001F62DF" w:rsidRPr="000F7365">
        <w:rPr>
          <w:rFonts w:ascii="Times New Roman" w:hAnsi="Times New Roman"/>
          <w:sz w:val="28"/>
          <w:szCs w:val="28"/>
          <w:lang w:val="uk-UA"/>
        </w:rPr>
        <w:t>рейтингування вітчизняних ФП за рівнем СВФБ, що є важливим кроком для підвищення інвестиційної привабливості ФП та підвищення лояльності сп</w:t>
      </w:r>
      <w:r w:rsidR="001F62DF" w:rsidRPr="000F7365">
        <w:rPr>
          <w:rFonts w:ascii="Times New Roman" w:hAnsi="Times New Roman"/>
          <w:sz w:val="28"/>
          <w:szCs w:val="28"/>
          <w:lang w:val="uk-UA"/>
        </w:rPr>
        <w:t>о</w:t>
      </w:r>
      <w:r w:rsidR="001F62DF" w:rsidRPr="000F7365">
        <w:rPr>
          <w:rFonts w:ascii="Times New Roman" w:hAnsi="Times New Roman"/>
          <w:sz w:val="28"/>
          <w:szCs w:val="28"/>
          <w:lang w:val="uk-UA"/>
        </w:rPr>
        <w:t xml:space="preserve">живачів та пацієнтів. Методика оцінки дозволяє уникнути суб’єктивізму отриманих результатів та враховує не тільки інтереси ФП, але й інтереси та </w:t>
      </w:r>
    </w:p>
    <w:p w:rsidR="006D1CDA" w:rsidRPr="000F7365" w:rsidRDefault="008E0160" w:rsidP="00AA51F6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5876925" cy="3752850"/>
            <wp:effectExtent l="19050" t="0" r="0" b="0"/>
            <wp:docPr id="7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193421" cy="6665220"/>
                      <a:chOff x="0" y="0"/>
                      <a:chExt cx="10193421" cy="6665220"/>
                    </a:xfrm>
                  </a:grpSpPr>
                  <a:grpSp>
                    <a:nvGrpSpPr>
                      <a:cNvPr id="89" name="Группа 88"/>
                      <a:cNvGrpSpPr/>
                    </a:nvGrpSpPr>
                    <a:grpSpPr>
                      <a:xfrm>
                        <a:off x="0" y="0"/>
                        <a:ext cx="10193421" cy="6665220"/>
                        <a:chOff x="0" y="0"/>
                        <a:chExt cx="10193421" cy="7208837"/>
                      </a:xfrm>
                    </a:grpSpPr>
                    <a:graphicFrame>
                      <a:nvGraphicFramePr>
                        <a:cNvPr id="5" name="Диаграмма 4"/>
                        <a:cNvGraphicFramePr/>
                      </a:nvGraphicFramePr>
                      <a:graphic>
                        <a:graphicData uri="http://schemas.openxmlformats.org/drawingml/2006/chart">
                          <c:chart xmlns:c="http://schemas.openxmlformats.org/drawingml/2006/chart" xmlns:r="http://schemas.openxmlformats.org/officeDocument/2006/relationships" r:id="rId31"/>
                        </a:graphicData>
                      </a:graphic>
                      <a:xfrm>
                        <a:off x="0" y="0"/>
                        <a:ext cx="10193421" cy="7166646"/>
                      </a:xfrm>
                    </a:graphicFrame>
                    <a:sp>
                      <a:nvSpPr>
                        <a:cNvPr id="6" name="Овал 5"/>
                        <a:cNvSpPr/>
                      </a:nvSpPr>
                      <a:spPr>
                        <a:xfrm>
                          <a:off x="2874208" y="6235203"/>
                          <a:ext cx="635001" cy="53999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1100"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" name="TextBox 7"/>
                        <a:cNvSpPr txBox="1"/>
                      </a:nvSpPr>
                      <a:spPr>
                        <a:xfrm>
                          <a:off x="1370263" y="5913358"/>
                          <a:ext cx="1353554" cy="4344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a:spPr>
                      <a:txSp>
                        <a:txBody>
                          <a:bodyPr vertOverflow="clip"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ru-RU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ТОВ «Мікрофарм»,</a:t>
                            </a:r>
                          </a:p>
                          <a:p>
                            <a:pPr algn="r"/>
                            <a:r>
                              <a:rPr lang="uk-UA"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rPr>
                              <a:t>ТОВ «Тернофарм»</a:t>
                            </a:r>
                            <a:endParaRPr lang="ru-RU" sz="110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10" name="Прямая со стрелкой 9"/>
                        <a:cNvCxnSpPr>
                          <a:stCxn id="8" idx="3"/>
                          <a:endCxn id="6" idx="1"/>
                        </a:cNvCxnSpPr>
                      </a:nvCxnSpPr>
                      <a:spPr>
                        <a:xfrm>
                          <a:off x="2723817" y="6130596"/>
                          <a:ext cx="243385" cy="1836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5" name="Овал 14"/>
                        <a:cNvSpPr/>
                      </a:nvSpPr>
                      <a:spPr>
                        <a:xfrm rot="20344363">
                          <a:off x="6433552" y="850070"/>
                          <a:ext cx="2991184" cy="453347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1100"/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6" name="TextBox 15"/>
                        <a:cNvSpPr txBox="1"/>
                      </a:nvSpPr>
                      <a:spPr>
                        <a:xfrm>
                          <a:off x="3860131" y="7370"/>
                          <a:ext cx="2155657" cy="18337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a:spPr>
                      <a:txSp>
                        <a:txBody>
                          <a:bodyPr vertOverflow="clip"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r" defTabSz="914400" eaLnBrk="1" fontAlgn="auto" latinLnBrk="0" hangingPunct="1">
                              <a:lnSpc>
                                <a:spcPct val="100000"/>
                              </a:lnSpc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  <a:defRPr/>
                            </a:pPr>
                            <a:r>
                              <a:rPr lang="uk-UA" sz="1100" b="0" i="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ПАТ «Фармак»</a:t>
                            </a:r>
                            <a:r>
                              <a:rPr lang="uk-UA" sz="110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 ,</a:t>
                            </a:r>
                            <a:endParaRPr lang="ru-RU" sz="110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  <a:p>
                            <a:pPr algn="r"/>
                            <a:r>
                              <a:rPr lang="ru-RU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Корпорація «Артеріум», </a:t>
                            </a:r>
                          </a:p>
                          <a:p>
                            <a:pPr algn="r"/>
                            <a:r>
                              <a:rPr lang="ru-RU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ФФ «Дарниця»,</a:t>
                            </a:r>
                          </a:p>
                          <a:p>
                            <a:pPr algn="r"/>
                            <a:r>
                              <a:rPr lang="ru-RU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ТОВ «Такеда Україна»,</a:t>
                            </a:r>
                          </a:p>
                          <a:p>
                            <a:pPr algn="r"/>
                            <a:r>
                              <a:rPr lang="ru-RU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ТОВ «Тева Україна»,</a:t>
                            </a:r>
                          </a:p>
                          <a:p>
                            <a:pPr marL="0" marR="0" indent="0" algn="r" defTabSz="914400" eaLnBrk="1" fontAlgn="auto" latinLnBrk="0" hangingPunct="1">
                              <a:lnSpc>
                                <a:spcPct val="100000"/>
                              </a:lnSpc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  <a:defRPr/>
                            </a:pPr>
                            <a:r>
                              <a:rPr lang="ru-RU" sz="110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Компанія «Дельта Медикел», </a:t>
                            </a:r>
                          </a:p>
                          <a:p>
                            <a:pPr algn="r"/>
                            <a:r>
                              <a:rPr lang="ru-RU" sz="110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Мережа аптек «Здоров’я», </a:t>
                            </a:r>
                            <a:endParaRPr lang="ru-RU" sz="110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  <a:p>
                            <a:pPr algn="r"/>
                            <a:r>
                              <a:rPr lang="ru-RU" sz="110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Мережа «Аптека низьких цін», </a:t>
                            </a:r>
                            <a:endParaRPr lang="ru-RU" sz="110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  <a:p>
                            <a:pPr algn="r"/>
                            <a:endParaRPr lang="ru-RU" sz="110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17" name="Прямая со стрелкой 16"/>
                        <a:cNvCxnSpPr>
                          <a:stCxn id="16" idx="3"/>
                          <a:endCxn id="15" idx="0"/>
                        </a:cNvCxnSpPr>
                      </a:nvCxnSpPr>
                      <a:spPr>
                        <a:xfrm>
                          <a:off x="6015788" y="924258"/>
                          <a:ext cx="1164772" cy="753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0" name="Овал 49"/>
                        <a:cNvSpPr/>
                      </a:nvSpPr>
                      <a:spPr>
                        <a:xfrm>
                          <a:off x="4378158" y="6258007"/>
                          <a:ext cx="1086184" cy="4991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1100"/>
                          </a:p>
                        </a:txBody>
                        <a:useSpRect/>
                      </a:txSp>
                      <a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51" name="TextBox 50"/>
                        <a:cNvSpPr txBox="1"/>
                      </a:nvSpPr>
                      <a:spPr>
                        <a:xfrm>
                          <a:off x="985909" y="4497941"/>
                          <a:ext cx="2005253" cy="11480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a:spPr>
                      <a:txSp>
                        <a:txBody>
                          <a:bodyPr vertOverflow="clip"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ru-RU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ПрАТ «Лекхім-Харків»,</a:t>
                            </a:r>
                          </a:p>
                          <a:p>
                            <a:pPr marL="0" marR="0" indent="0" algn="r" defTabSz="914400" eaLnBrk="1" fontAlgn="auto" latinLnBrk="0" hangingPunct="1">
                              <a:lnSpc>
                                <a:spcPct val="100000"/>
                              </a:lnSpc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  <a:defRPr/>
                            </a:pPr>
                            <a:r>
                              <a:rPr lang="uk-UA" sz="1100" b="0" i="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ПАТ «Фармстандарт-Біолік»</a:t>
                            </a:r>
                            <a:r>
                              <a:rPr lang="uk-UA" sz="110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,</a:t>
                            </a:r>
                            <a:endParaRPr lang="ru-RU" sz="110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  <a:p>
                            <a:pPr marL="0" marR="0" indent="0" algn="r" defTabSz="914400" eaLnBrk="1" fontAlgn="auto" latinLnBrk="0" hangingPunct="1">
                              <a:lnSpc>
                                <a:spcPct val="100000"/>
                              </a:lnSpc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  <a:defRPr/>
                            </a:pPr>
                            <a:r>
                              <a:rPr lang="uk-UA" sz="1100" b="0" i="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ТОВ «Артур-К»,</a:t>
                            </a:r>
                            <a:r>
                              <a:rPr lang="uk-UA" sz="1100" b="0" i="0" baseline="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/>
                            </a:r>
                            <a:endParaRPr lang="ru-RU" sz="110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  <a:p>
                            <a:pPr algn="r"/>
                            <a:r>
                              <a:rPr lang="ru-RU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СП «Оптима-Фарм, ЛТД»,</a:t>
                            </a:r>
                          </a:p>
                          <a:p>
                            <a:pPr algn="r"/>
                            <a:r>
                              <a:rPr lang="ru-RU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ПТП МП фірма «Едельвейс»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52" name="Прямая со стрелкой 51"/>
                        <a:cNvCxnSpPr>
                          <a:stCxn id="51" idx="3"/>
                          <a:endCxn id="50" idx="1"/>
                        </a:cNvCxnSpPr>
                      </a:nvCxnSpPr>
                      <a:spPr>
                        <a:xfrm>
                          <a:off x="2991162" y="5071966"/>
                          <a:ext cx="1546064" cy="12591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8" name="Овал 57"/>
                        <a:cNvSpPr/>
                      </a:nvSpPr>
                      <a:spPr>
                        <a:xfrm>
                          <a:off x="5313947" y="4588308"/>
                          <a:ext cx="2105526" cy="24760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 sz="1100"/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59" name="TextBox 58"/>
                        <a:cNvSpPr txBox="1"/>
                      </a:nvSpPr>
                      <a:spPr>
                        <a:xfrm>
                          <a:off x="1821446" y="1919541"/>
                          <a:ext cx="2656973" cy="25065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a:spPr>
                      <a:txSp>
                        <a:txBody>
                          <a:bodyPr vertOverflow="clip"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ПАТ НПЦ «Борщагівський ХФЗ»</a:t>
                            </a:r>
                            <a:r>
                              <a:rPr lang="uk-UA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 , </a:t>
                            </a:r>
                          </a:p>
                          <a:p>
                            <a:pPr algn="r"/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ТОВ «ФК «Здоров’я», </a:t>
                            </a:r>
                          </a:p>
                          <a:p>
                            <a:pPr algn="r"/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ПАТ «Київський вітамінний завод»</a:t>
                            </a:r>
                            <a:r>
                              <a:rPr lang="uk-UA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,</a:t>
                            </a:r>
                          </a:p>
                          <a:p>
                            <a:pPr algn="r"/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Корпорація «Юрія-Фарм»,</a:t>
                            </a:r>
                            <a:r>
                              <a:rPr lang="uk-UA" sz="1100" b="0" i="0" u="none" strike="noStrike" baseline="0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/>
                            </a:r>
                          </a:p>
                          <a:p>
                            <a:pPr algn="r"/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ТОВ «БаДМ»</a:t>
                            </a:r>
                            <a:r>
                              <a:rPr lang="uk-UA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,</a:t>
                            </a:r>
                          </a:p>
                          <a:p>
                            <a:pPr algn="r"/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Мережа аптек «Мед Сервис Груп»</a:t>
                            </a:r>
                            <a:r>
                              <a:rPr lang="uk-UA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, </a:t>
                            </a:r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Мережа аптек «Гамма-55»</a:t>
                            </a:r>
                            <a:r>
                              <a:rPr lang="uk-UA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,</a:t>
                            </a:r>
                          </a:p>
                          <a:p>
                            <a:pPr algn="r"/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Мережа аптек «Леда»</a:t>
                            </a:r>
                            <a:r>
                              <a:rPr lang="uk-UA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, </a:t>
                            </a:r>
                          </a:p>
                          <a:p>
                            <a:pPr algn="r"/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Мережа аптек «9-1-1»</a:t>
                            </a:r>
                            <a:r>
                              <a:rPr lang="uk-UA" sz="1100">
                                <a:latin typeface="Times New Roman" pitchFamily="18" charset="0"/>
                                <a:cs typeface="Times New Roman" pitchFamily="18" charset="0"/>
                              </a:rPr>
                              <a:t>,</a:t>
                            </a:r>
                          </a:p>
                          <a:p>
                            <a:pPr algn="r"/>
                            <a:r>
                              <a:rPr lang="uk-UA" sz="1100" b="0" i="0" u="none" strike="noStrike">
                                <a:solidFill>
                                  <a:schemeClr val="dk1"/>
                                </a:solidFill>
                                <a:latin typeface="Times New Roman" pitchFamily="18" charset="0"/>
                                <a:ea typeface="+mn-ea"/>
                                <a:cs typeface="Times New Roman" pitchFamily="18" charset="0"/>
                              </a:rPr>
                              <a:t>Мережа  «Аптека доброго дня»</a:t>
                            </a:r>
                            <a:endParaRPr lang="ru-RU" sz="110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60" name="Прямая со стрелкой 59"/>
                        <a:cNvCxnSpPr>
                          <a:stCxn id="59" idx="3"/>
                          <a:endCxn id="58" idx="1"/>
                        </a:cNvCxnSpPr>
                      </a:nvCxnSpPr>
                      <a:spPr>
                        <a:xfrm>
                          <a:off x="4478419" y="3172833"/>
                          <a:ext cx="1143875" cy="177808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86" name="TextBox 85"/>
                        <a:cNvSpPr txBox="1"/>
                      </a:nvSpPr>
                      <a:spPr>
                        <a:xfrm>
                          <a:off x="3676316" y="6915988"/>
                          <a:ext cx="6015792" cy="2928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a:spPr>
                      <a:txSp>
                        <a:txBody>
                          <a:bodyPr vertOverflow="clip"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ru-RU" sz="1200">
                                <a:latin typeface="Times New Roman" pitchFamily="18" charset="0"/>
                                <a:cs typeface="Times New Roman" pitchFamily="18" charset="0"/>
                              </a:rPr>
                              <a:t>Інтегральний показник</a:t>
                            </a:r>
                            <a:r>
                              <a:rPr lang="ru-RU" sz="1200" baseline="0">
                                <a:latin typeface="Times New Roman" pitchFamily="18" charset="0"/>
                                <a:cs typeface="Times New Roman" pitchFamily="18" charset="0"/>
                              </a:rPr>
                              <a:t>  рівня соціальної відповідальності фармацевтичного бізнесу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7" name="TextBox 86"/>
                        <a:cNvSpPr txBox="1"/>
                      </a:nvSpPr>
                      <a:spPr>
                        <a:xfrm>
                          <a:off x="50139" y="2420840"/>
                          <a:ext cx="250652" cy="25734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a:spPr>
                      <a:txSp>
                        <a:txBody>
                          <a:bodyPr vertOverflow="clip" vert="vert270" wrap="square" rtlCol="0" anchor="ctr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ru-RU" sz="1200">
                                <a:latin typeface="Times New Roman" pitchFamily="18" charset="0"/>
                                <a:cs typeface="Times New Roman" pitchFamily="18" charset="0"/>
                              </a:rPr>
                              <a:t>Коефіцієнт синергізму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6D1CDA" w:rsidRPr="000F7365" w:rsidRDefault="006D1CDA" w:rsidP="00DA156B">
      <w:pPr>
        <w:spacing w:after="0" w:line="360" w:lineRule="auto"/>
        <w:jc w:val="center"/>
        <w:rPr>
          <w:rFonts w:ascii="Times New Roman" w:hAnsi="Times New Roman"/>
          <w:i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>Рис. 2.3. Результати кластеризації досліджуваних ФП за рівнем СВФБ</w:t>
      </w:r>
    </w:p>
    <w:p w:rsidR="001F62DF" w:rsidRPr="000F7365" w:rsidRDefault="001F62DF" w:rsidP="001F62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CDA" w:rsidRPr="000F7365" w:rsidRDefault="000E2BE5" w:rsidP="000C535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 xml:space="preserve">потреби </w:t>
      </w:r>
      <w:r w:rsidR="001F62DF" w:rsidRPr="000F7365">
        <w:rPr>
          <w:rFonts w:ascii="Times New Roman" w:hAnsi="Times New Roman"/>
          <w:sz w:val="28"/>
          <w:szCs w:val="28"/>
          <w:lang w:val="uk-UA"/>
        </w:rPr>
        <w:t>суспільства, наголошуючи при цьому на довгострокових перевагах побудови та розвитку системи СВФБ.</w:t>
      </w:r>
    </w:p>
    <w:p w:rsidR="006D1CDA" w:rsidRPr="000F7365" w:rsidRDefault="006D1CDA" w:rsidP="00A5279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0F7365" w:rsidRDefault="006D1CDA" w:rsidP="00A5279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7365">
        <w:rPr>
          <w:rFonts w:ascii="Times New Roman" w:hAnsi="Times New Roman"/>
          <w:b/>
          <w:sz w:val="28"/>
          <w:szCs w:val="28"/>
          <w:lang w:val="uk-UA"/>
        </w:rPr>
        <w:t>ВИСНОВКИ</w:t>
      </w:r>
    </w:p>
    <w:p w:rsidR="006D1CDA" w:rsidRPr="000F7365" w:rsidRDefault="006D1CDA" w:rsidP="00A5279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0F7365" w:rsidRDefault="006D1CDA" w:rsidP="000B5A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>1. Визначена сутність та проведений аналіз станусоціальновідповідал</w:t>
      </w:r>
      <w:r w:rsidRPr="000F7365">
        <w:rPr>
          <w:rFonts w:ascii="Times New Roman" w:hAnsi="Times New Roman"/>
          <w:sz w:val="28"/>
          <w:szCs w:val="28"/>
          <w:lang w:val="uk-UA"/>
        </w:rPr>
        <w:t>ь</w:t>
      </w:r>
      <w:r w:rsidRPr="000F7365">
        <w:rPr>
          <w:rFonts w:ascii="Times New Roman" w:hAnsi="Times New Roman"/>
          <w:sz w:val="28"/>
          <w:szCs w:val="28"/>
          <w:lang w:val="uk-UA"/>
        </w:rPr>
        <w:t>ноїдіяльності зарубіжних та вітчизняних фармацевтичних компаній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>, що дало змогу визначити компанії-лідер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>и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 xml:space="preserve"> в сфер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>і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 xml:space="preserve"> соціальної відповідальності</w:t>
      </w:r>
      <w:r w:rsidRPr="000F7365">
        <w:rPr>
          <w:rFonts w:ascii="Times New Roman" w:hAnsi="Times New Roman"/>
          <w:sz w:val="28"/>
          <w:szCs w:val="28"/>
          <w:lang w:val="uk-UA"/>
        </w:rPr>
        <w:t>.</w:t>
      </w:r>
    </w:p>
    <w:p w:rsidR="006D1CDA" w:rsidRPr="000F7365" w:rsidRDefault="006D1CDA" w:rsidP="000B5A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>Вперше п</w:t>
      </w:r>
      <w:r w:rsidRPr="000F7365">
        <w:rPr>
          <w:rFonts w:ascii="Times New Roman" w:hAnsi="Times New Roman"/>
          <w:sz w:val="28"/>
          <w:szCs w:val="28"/>
          <w:lang w:val="uk-UA"/>
        </w:rPr>
        <w:t>обудована система оцінки СВФБ, яка включає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>:</w:t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 суб’єкт та об’єкт оцінки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 xml:space="preserve">;містить загальні та специфічні </w:t>
      </w:r>
      <w:r w:rsidRPr="000F7365">
        <w:rPr>
          <w:rFonts w:ascii="Times New Roman" w:hAnsi="Times New Roman"/>
          <w:sz w:val="28"/>
          <w:szCs w:val="28"/>
          <w:lang w:val="uk-UA"/>
        </w:rPr>
        <w:t>принципи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 xml:space="preserve"> оцінки соціально ві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>д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 xml:space="preserve">повідальної діяльності; виокремлює </w:t>
      </w:r>
      <w:r w:rsidRPr="000F7365">
        <w:rPr>
          <w:rFonts w:ascii="Times New Roman" w:hAnsi="Times New Roman"/>
          <w:sz w:val="28"/>
          <w:szCs w:val="28"/>
          <w:lang w:val="uk-UA"/>
        </w:rPr>
        <w:t>напрями, рівні, методи та інструменти оцінки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 xml:space="preserve"> соціальної відповідальності</w:t>
      </w:r>
      <w:r w:rsidRPr="000F7365">
        <w:rPr>
          <w:rFonts w:ascii="Times New Roman" w:hAnsi="Times New Roman"/>
          <w:sz w:val="28"/>
          <w:szCs w:val="28"/>
          <w:lang w:val="uk-UA"/>
        </w:rPr>
        <w:t>.</w:t>
      </w:r>
    </w:p>
    <w:p w:rsidR="0015412C" w:rsidRPr="000F7365" w:rsidRDefault="00493C69" w:rsidP="001541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7" type="#_x0000_t202" style="position:absolute;left:0;text-align:left;margin-left:217.95pt;margin-top:91.1pt;width:32.25pt;height:24pt;z-index:251679744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21</w:t>
                  </w:r>
                </w:p>
              </w:txbxContent>
            </v:textbox>
          </v:shape>
        </w:pic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>Вперше</w:t>
      </w:r>
      <w:r w:rsidR="001F62DF" w:rsidRPr="000F7365">
        <w:rPr>
          <w:rFonts w:ascii="Times New Roman" w:hAnsi="Times New Roman"/>
          <w:sz w:val="28"/>
          <w:szCs w:val="28"/>
          <w:lang w:val="uk-UA"/>
        </w:rPr>
        <w:t>,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 xml:space="preserve"> з урахуванням специфіки фармацевтичної галузі</w:t>
      </w:r>
      <w:r w:rsidR="001F62DF" w:rsidRPr="000F7365">
        <w:rPr>
          <w:rFonts w:ascii="Times New Roman" w:hAnsi="Times New Roman"/>
          <w:sz w:val="28"/>
          <w:szCs w:val="28"/>
          <w:lang w:val="uk-UA"/>
        </w:rPr>
        <w:t>,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озробл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е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на та опрацьована система показників, яка дозволяє здійснювати рейтинг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у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вання фармацевтичних компаній за рівнем соціальної відповідальності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>. На підставі запропонованої методики</w:t>
      </w:r>
      <w:r w:rsidR="001F62DF" w:rsidRPr="000F7365">
        <w:rPr>
          <w:rFonts w:ascii="Times New Roman" w:hAnsi="Times New Roman"/>
          <w:sz w:val="28"/>
          <w:szCs w:val="28"/>
          <w:lang w:val="uk-UA"/>
        </w:rPr>
        <w:t>,</w:t>
      </w:r>
      <w:r w:rsidR="005B0DA5" w:rsidRPr="000F73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>п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>роведений кластерн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ий аналіз дослідж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у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lastRenderedPageBreak/>
        <w:t>ваних ФП за розрахованим інтегральним показником рівня СВФБ</w:t>
      </w:r>
      <w:r w:rsidR="00AA51F6" w:rsidRPr="000F736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>який д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>о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>звол</w:t>
      </w:r>
      <w:r w:rsidR="00F46C10" w:rsidRPr="000F7365">
        <w:rPr>
          <w:rFonts w:ascii="Times New Roman" w:hAnsi="Times New Roman"/>
          <w:sz w:val="28"/>
          <w:szCs w:val="28"/>
          <w:lang w:val="uk-UA"/>
        </w:rPr>
        <w:t>яє</w:t>
      </w:r>
      <w:r w:rsidR="0015412C" w:rsidRPr="000F7365">
        <w:rPr>
          <w:rFonts w:ascii="Times New Roman" w:hAnsi="Times New Roman"/>
          <w:sz w:val="28"/>
          <w:szCs w:val="28"/>
          <w:lang w:val="uk-UA"/>
        </w:rPr>
        <w:t xml:space="preserve"> виявити чотири рівня соціальної відповідальності.</w:t>
      </w:r>
    </w:p>
    <w:p w:rsidR="00EB3A09" w:rsidRPr="000F7365" w:rsidRDefault="0015412C" w:rsidP="00EB3A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 xml:space="preserve">4. Розроблена методика має суттєве значення для бізнес-середовища, оскільки дозволяє більш обґрунтовано підходити до вибору бізнес-партнерів, а також найбільш </w:t>
      </w:r>
      <w:r w:rsidR="00EB3A09" w:rsidRPr="000F7365">
        <w:rPr>
          <w:rFonts w:ascii="Times New Roman" w:hAnsi="Times New Roman"/>
          <w:sz w:val="28"/>
          <w:szCs w:val="28"/>
          <w:lang w:val="uk-UA"/>
        </w:rPr>
        <w:t>привабливі об’єкти інвестування, якими є ФП з високим</w:t>
      </w:r>
      <w:r w:rsidR="001F62DF" w:rsidRPr="000F7365">
        <w:rPr>
          <w:rFonts w:ascii="Times New Roman" w:hAnsi="Times New Roman"/>
          <w:sz w:val="28"/>
          <w:szCs w:val="28"/>
          <w:lang w:val="uk-UA"/>
        </w:rPr>
        <w:t xml:space="preserve"> потенціалом сталого розвитку.</w:t>
      </w:r>
    </w:p>
    <w:p w:rsidR="00EB3A09" w:rsidRPr="000F7365" w:rsidRDefault="00EB3A09" w:rsidP="00EB3A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CDA" w:rsidRPr="000F7365" w:rsidRDefault="006D1CDA" w:rsidP="00EB3A0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7365">
        <w:rPr>
          <w:rFonts w:ascii="Times New Roman" w:hAnsi="Times New Roman"/>
          <w:b/>
          <w:sz w:val="28"/>
          <w:szCs w:val="28"/>
          <w:lang w:val="uk-UA"/>
        </w:rPr>
        <w:t xml:space="preserve">СПИСОК </w:t>
      </w:r>
      <w:r w:rsidR="009D4EAD" w:rsidRPr="000F7365">
        <w:rPr>
          <w:rFonts w:ascii="Times New Roman" w:hAnsi="Times New Roman"/>
          <w:b/>
          <w:sz w:val="28"/>
          <w:szCs w:val="28"/>
          <w:lang w:val="uk-UA"/>
        </w:rPr>
        <w:t>РЕКОМЕНДОВАНИХ</w:t>
      </w:r>
      <w:r w:rsidRPr="000F7365">
        <w:rPr>
          <w:rFonts w:ascii="Times New Roman" w:hAnsi="Times New Roman"/>
          <w:b/>
          <w:sz w:val="28"/>
          <w:szCs w:val="28"/>
          <w:lang w:val="uk-UA"/>
        </w:rPr>
        <w:t xml:space="preserve"> ДЖЕРЕЛ</w:t>
      </w:r>
    </w:p>
    <w:p w:rsidR="006D1CDA" w:rsidRPr="000F7365" w:rsidRDefault="006D1CDA" w:rsidP="00FF722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D1CDA" w:rsidRPr="00A33BA0" w:rsidRDefault="006D1CDA" w:rsidP="00FF7221">
      <w:pPr>
        <w:pStyle w:val="af"/>
        <w:tabs>
          <w:tab w:val="left" w:pos="360"/>
        </w:tabs>
        <w:spacing w:after="0" w:line="36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0F7365">
        <w:rPr>
          <w:rFonts w:ascii="Times New Roman" w:hAnsi="Times New Roman"/>
          <w:bCs/>
          <w:sz w:val="28"/>
          <w:szCs w:val="28"/>
          <w:lang w:val="uk-UA"/>
        </w:rPr>
        <w:t xml:space="preserve">1. Посилкіна, О. В. </w:t>
      </w:r>
      <w:r w:rsidRPr="000F7365">
        <w:rPr>
          <w:rFonts w:ascii="Times New Roman" w:hAnsi="Times New Roman"/>
          <w:sz w:val="28"/>
          <w:szCs w:val="28"/>
          <w:lang w:val="uk-UA"/>
        </w:rPr>
        <w:t>Управління трудовим потенціалом фармацевтичних</w:t>
      </w:r>
      <w:r w:rsidR="00A33BA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 пі</w:t>
      </w:r>
      <w:r w:rsidRPr="000F7365">
        <w:rPr>
          <w:rFonts w:ascii="Times New Roman" w:hAnsi="Times New Roman"/>
          <w:sz w:val="28"/>
          <w:szCs w:val="28"/>
          <w:lang w:val="uk-UA"/>
        </w:rPr>
        <w:t>д</w:t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приємств в умовах менеджменту якості: моногр. / </w:t>
      </w:r>
      <w:r w:rsidRPr="000F7365">
        <w:rPr>
          <w:rFonts w:ascii="Times New Roman" w:hAnsi="Times New Roman"/>
          <w:bCs/>
          <w:sz w:val="28"/>
          <w:szCs w:val="28"/>
          <w:lang w:val="uk-UA"/>
        </w:rPr>
        <w:t xml:space="preserve">О. В. Посилкіна, О. В. </w:t>
      </w:r>
      <w:r w:rsidRPr="00A33BA0">
        <w:rPr>
          <w:rFonts w:ascii="Times New Roman" w:hAnsi="Times New Roman"/>
          <w:bCs/>
          <w:spacing w:val="-4"/>
          <w:sz w:val="28"/>
          <w:szCs w:val="28"/>
          <w:lang w:val="uk-UA"/>
        </w:rPr>
        <w:t>Д</w:t>
      </w:r>
      <w:r w:rsidRPr="00A33BA0">
        <w:rPr>
          <w:rFonts w:ascii="Times New Roman" w:hAnsi="Times New Roman"/>
          <w:bCs/>
          <w:spacing w:val="-4"/>
          <w:sz w:val="28"/>
          <w:szCs w:val="28"/>
          <w:lang w:val="uk-UA"/>
        </w:rPr>
        <w:t>о</w:t>
      </w:r>
      <w:r w:rsidRPr="00A33BA0">
        <w:rPr>
          <w:rFonts w:ascii="Times New Roman" w:hAnsi="Times New Roman"/>
          <w:bCs/>
          <w:spacing w:val="-4"/>
          <w:sz w:val="28"/>
          <w:szCs w:val="28"/>
          <w:lang w:val="uk-UA"/>
        </w:rPr>
        <w:t>ровський, Ю. С. Братішко /</w:t>
      </w:r>
      <w:r w:rsidRPr="00A33BA0">
        <w:rPr>
          <w:rFonts w:ascii="Times New Roman" w:hAnsi="Times New Roman"/>
          <w:spacing w:val="-4"/>
          <w:sz w:val="28"/>
          <w:szCs w:val="28"/>
          <w:lang w:val="uk-UA"/>
        </w:rPr>
        <w:t>/ за ред. О. В. Посилкіної. – Х. : НФаУ, 2010. – 422 с.</w:t>
      </w:r>
    </w:p>
    <w:p w:rsidR="006D1CDA" w:rsidRPr="000F7365" w:rsidRDefault="006D1CDA" w:rsidP="00FF7221">
      <w:pPr>
        <w:pStyle w:val="af"/>
        <w:tabs>
          <w:tab w:val="left" w:pos="36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bCs/>
          <w:sz w:val="28"/>
          <w:szCs w:val="28"/>
          <w:lang w:val="uk-UA"/>
        </w:rPr>
        <w:t xml:space="preserve">2. Посилкіна, О. В. </w:t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Управління персоналом : навч. посіб. для студ. вищ. мед. та фарм. навч. закл. / </w:t>
      </w:r>
      <w:r w:rsidRPr="000F7365">
        <w:rPr>
          <w:rFonts w:ascii="Times New Roman" w:hAnsi="Times New Roman"/>
          <w:bCs/>
          <w:sz w:val="28"/>
          <w:szCs w:val="28"/>
          <w:lang w:val="uk-UA"/>
        </w:rPr>
        <w:t xml:space="preserve">О. В. Посилкіна, Ю. С. Братішко, Г. В. Кубасова. </w:t>
      </w:r>
      <w:r w:rsidRPr="000F7365">
        <w:rPr>
          <w:rFonts w:ascii="Times New Roman" w:hAnsi="Times New Roman"/>
          <w:sz w:val="28"/>
          <w:szCs w:val="28"/>
          <w:lang w:val="uk-UA"/>
        </w:rPr>
        <w:t>– Х. : НФаУ. – 2015. – 517 с.</w:t>
      </w:r>
    </w:p>
    <w:p w:rsidR="006D1CDA" w:rsidRPr="000F7365" w:rsidRDefault="006D1CDA" w:rsidP="00FF7221">
      <w:pPr>
        <w:pStyle w:val="af"/>
        <w:tabs>
          <w:tab w:val="left" w:pos="36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>3. Братішко, Ю. С. Посада менеджера із соціальної відповідальності сучасної фармацевтичної компанії : Соціальна відповідальність бізнесу і адміністрації – створення інноваційного управління: монографія / Ю. С. Братішко, О. В. Посилкіна; за заг. ред. В. Дучмала, Т. П. Несторенко, Т. Покуси. – Бердянськ : Видавець Ткачук О. В., 2015. – С. 54–63 с.: табл., іл.</w:t>
      </w:r>
    </w:p>
    <w:p w:rsidR="006D1CDA" w:rsidRPr="000F7365" w:rsidRDefault="006D1CDA" w:rsidP="00FF7221">
      <w:pPr>
        <w:pStyle w:val="af"/>
        <w:tabs>
          <w:tab w:val="left" w:pos="36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>4. Братішко, Ю. С. Формування концепції соціальної відповідальності фа</w:t>
      </w:r>
      <w:r w:rsidRPr="000F7365">
        <w:rPr>
          <w:rFonts w:ascii="Times New Roman" w:hAnsi="Times New Roman"/>
          <w:sz w:val="28"/>
          <w:szCs w:val="28"/>
          <w:lang w:val="uk-UA"/>
        </w:rPr>
        <w:t>р</w:t>
      </w:r>
      <w:r w:rsidRPr="000F7365">
        <w:rPr>
          <w:rFonts w:ascii="Times New Roman" w:hAnsi="Times New Roman"/>
          <w:sz w:val="28"/>
          <w:szCs w:val="28"/>
          <w:lang w:val="uk-UA"/>
        </w:rPr>
        <w:t>мацевтичного бізнесу / Ю. С. Братішко // Socio-economic  problems of management: Collective monograph. – Thorpe-Bowker®, Melbourne, Australia, 2015. – Р. 198-221.</w:t>
      </w:r>
    </w:p>
    <w:p w:rsidR="006D1CDA" w:rsidRPr="000F7365" w:rsidRDefault="006D1CDA" w:rsidP="00FF7221">
      <w:pPr>
        <w:pStyle w:val="af"/>
        <w:tabs>
          <w:tab w:val="left" w:pos="360"/>
        </w:tabs>
        <w:spacing w:after="0" w:line="36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 xml:space="preserve">5. https://blog.reputationinstitute.com/the-reputation-of-pharma-is- improving-but-will-pharmaceutical-companies-embrace-the-invitation-to-connect-with-general-public/ </w:t>
      </w:r>
    </w:p>
    <w:p w:rsidR="006D1CDA" w:rsidRPr="000F7365" w:rsidRDefault="006D1CDA" w:rsidP="00FF7221">
      <w:pPr>
        <w:pStyle w:val="af"/>
        <w:tabs>
          <w:tab w:val="left" w:pos="36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bCs/>
          <w:sz w:val="28"/>
          <w:szCs w:val="28"/>
          <w:lang w:val="uk-UA"/>
        </w:rPr>
        <w:t xml:space="preserve">6. </w:t>
      </w:r>
      <w:r w:rsidRPr="000F7365">
        <w:rPr>
          <w:rFonts w:ascii="Times New Roman" w:hAnsi="Times New Roman"/>
          <w:sz w:val="28"/>
          <w:szCs w:val="28"/>
          <w:lang w:val="uk-UA"/>
        </w:rPr>
        <w:t xml:space="preserve">http://wdc.org.ua </w:t>
      </w:r>
    </w:p>
    <w:p w:rsidR="006D1CDA" w:rsidRPr="000F7365" w:rsidRDefault="006D1CDA" w:rsidP="00FF7221">
      <w:pPr>
        <w:pStyle w:val="af"/>
        <w:tabs>
          <w:tab w:val="left" w:pos="36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F7365">
        <w:rPr>
          <w:rFonts w:ascii="Times New Roman" w:hAnsi="Times New Roman"/>
          <w:sz w:val="28"/>
          <w:szCs w:val="28"/>
          <w:lang w:val="uk-UA"/>
        </w:rPr>
        <w:t>7. http://www.reputationinstitute.com</w:t>
      </w:r>
    </w:p>
    <w:p w:rsidR="006D1CDA" w:rsidRPr="000F7365" w:rsidRDefault="00493C69" w:rsidP="00FF7221">
      <w:pPr>
        <w:pStyle w:val="af"/>
        <w:tabs>
          <w:tab w:val="left" w:pos="360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493C69">
        <w:rPr>
          <w:rFonts w:ascii="Times New Roman" w:hAnsi="Times New Roman"/>
          <w:noProof/>
          <w:sz w:val="28"/>
          <w:szCs w:val="28"/>
        </w:rPr>
        <w:pict>
          <v:shape id="_x0000_s1058" type="#_x0000_t202" style="position:absolute;left:0;text-align:left;margin-left:219.45pt;margin-top:16.25pt;width:32.25pt;height:24pt;z-index:251680768" stroked="f">
            <v:textbox>
              <w:txbxContent>
                <w:p w:rsidR="008614DA" w:rsidRPr="003020AF" w:rsidRDefault="008614DA" w:rsidP="003020AF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22</w:t>
                  </w:r>
                </w:p>
              </w:txbxContent>
            </v:textbox>
          </v:shape>
        </w:pic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 xml:space="preserve">8. </w:t>
      </w:r>
      <w:r w:rsidR="006D1CDA" w:rsidRPr="000F7365">
        <w:rPr>
          <w:rFonts w:ascii="Times New Roman" w:hAnsi="Times New Roman"/>
          <w:sz w:val="28"/>
          <w:szCs w:val="28"/>
          <w:lang w:val="en-US"/>
        </w:rPr>
        <w:t>hh</w:t>
      </w:r>
      <w:r w:rsidR="006D1CDA" w:rsidRPr="000F7365">
        <w:rPr>
          <w:rFonts w:ascii="Times New Roman" w:hAnsi="Times New Roman"/>
          <w:sz w:val="28"/>
          <w:szCs w:val="28"/>
          <w:lang w:val="uk-UA"/>
        </w:rPr>
        <w:t>.</w:t>
      </w:r>
      <w:r w:rsidR="006D1CDA" w:rsidRPr="000F7365">
        <w:rPr>
          <w:rFonts w:ascii="Times New Roman" w:hAnsi="Times New Roman"/>
          <w:sz w:val="28"/>
          <w:szCs w:val="28"/>
          <w:lang w:val="en-US"/>
        </w:rPr>
        <w:t>ua</w:t>
      </w:r>
    </w:p>
    <w:sectPr w:rsidR="006D1CDA" w:rsidRPr="000F7365" w:rsidSect="002E43A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3D1" w:rsidRDefault="00C913D1" w:rsidP="00892896">
      <w:pPr>
        <w:spacing w:after="0" w:line="240" w:lineRule="auto"/>
      </w:pPr>
      <w:r>
        <w:separator/>
      </w:r>
    </w:p>
  </w:endnote>
  <w:endnote w:type="continuationSeparator" w:id="1">
    <w:p w:rsidR="00C913D1" w:rsidRDefault="00C913D1" w:rsidP="0089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DA" w:rsidRPr="00AA5223" w:rsidRDefault="00493C69" w:rsidP="00AA5223">
    <w:pPr>
      <w:pStyle w:val="a3"/>
      <w:jc w:val="center"/>
    </w:pPr>
    <w:fldSimple w:instr=" PAGE   \* MERGEFORMAT ">
      <w:r w:rsidR="00506822">
        <w:rPr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DA" w:rsidRDefault="00493C69" w:rsidP="008C0C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4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14DA" w:rsidRDefault="008614DA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DA" w:rsidRDefault="00493C69">
    <w:pPr>
      <w:pStyle w:val="a3"/>
      <w:jc w:val="center"/>
    </w:pPr>
    <w:fldSimple w:instr=" PAGE   \* MERGEFORMAT ">
      <w:r w:rsidR="00506822">
        <w:rPr>
          <w:noProof/>
        </w:rPr>
        <w:t>6</w:t>
      </w:r>
    </w:fldSimple>
  </w:p>
  <w:p w:rsidR="008614DA" w:rsidRPr="00AA5223" w:rsidRDefault="008614DA" w:rsidP="00AA522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3D1" w:rsidRDefault="00C913D1" w:rsidP="00892896">
      <w:pPr>
        <w:spacing w:after="0" w:line="240" w:lineRule="auto"/>
      </w:pPr>
      <w:r>
        <w:separator/>
      </w:r>
    </w:p>
  </w:footnote>
  <w:footnote w:type="continuationSeparator" w:id="1">
    <w:p w:rsidR="00C913D1" w:rsidRDefault="00C913D1" w:rsidP="00892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</w:abstractNum>
  <w:abstractNum w:abstractNumId="1">
    <w:nsid w:val="00352846"/>
    <w:multiLevelType w:val="hybridMultilevel"/>
    <w:tmpl w:val="9258A2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8B30C3"/>
    <w:multiLevelType w:val="hybridMultilevel"/>
    <w:tmpl w:val="D1A67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1474D0"/>
    <w:multiLevelType w:val="hybridMultilevel"/>
    <w:tmpl w:val="5A806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57643"/>
    <w:multiLevelType w:val="hybridMultilevel"/>
    <w:tmpl w:val="9C90CA54"/>
    <w:lvl w:ilvl="0" w:tplc="95429DDC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200A4CE2"/>
    <w:multiLevelType w:val="hybridMultilevel"/>
    <w:tmpl w:val="905A7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213BD2"/>
    <w:multiLevelType w:val="hybridMultilevel"/>
    <w:tmpl w:val="6748A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C23EC1"/>
    <w:multiLevelType w:val="hybridMultilevel"/>
    <w:tmpl w:val="62C24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0B55D1"/>
    <w:multiLevelType w:val="hybridMultilevel"/>
    <w:tmpl w:val="F6047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950AB9"/>
    <w:multiLevelType w:val="hybridMultilevel"/>
    <w:tmpl w:val="FE209C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19B4D7E"/>
    <w:multiLevelType w:val="hybridMultilevel"/>
    <w:tmpl w:val="329E6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E54766"/>
    <w:multiLevelType w:val="hybridMultilevel"/>
    <w:tmpl w:val="CFB6F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033FE2"/>
    <w:multiLevelType w:val="hybridMultilevel"/>
    <w:tmpl w:val="F81E3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3"/>
  </w:num>
  <w:num w:numId="5">
    <w:abstractNumId w:val="6"/>
  </w:num>
  <w:num w:numId="6">
    <w:abstractNumId w:val="12"/>
  </w:num>
  <w:num w:numId="7">
    <w:abstractNumId w:val="10"/>
  </w:num>
  <w:num w:numId="8">
    <w:abstractNumId w:val="7"/>
  </w:num>
  <w:num w:numId="9">
    <w:abstractNumId w:val="8"/>
  </w:num>
  <w:num w:numId="10">
    <w:abstractNumId w:val="5"/>
  </w:num>
  <w:num w:numId="11">
    <w:abstractNumId w:val="4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5C0E"/>
    <w:rsid w:val="00010A7B"/>
    <w:rsid w:val="00015CB8"/>
    <w:rsid w:val="00020B82"/>
    <w:rsid w:val="00026501"/>
    <w:rsid w:val="00065B54"/>
    <w:rsid w:val="000748B3"/>
    <w:rsid w:val="00077CE8"/>
    <w:rsid w:val="00086457"/>
    <w:rsid w:val="00091442"/>
    <w:rsid w:val="000A474E"/>
    <w:rsid w:val="000B5A44"/>
    <w:rsid w:val="000C5354"/>
    <w:rsid w:val="000E2BE5"/>
    <w:rsid w:val="000F28A2"/>
    <w:rsid w:val="000F7365"/>
    <w:rsid w:val="00100404"/>
    <w:rsid w:val="001234DC"/>
    <w:rsid w:val="001511B3"/>
    <w:rsid w:val="0015412A"/>
    <w:rsid w:val="0015412C"/>
    <w:rsid w:val="00163A4A"/>
    <w:rsid w:val="001B7FA6"/>
    <w:rsid w:val="001D5A15"/>
    <w:rsid w:val="001D71F4"/>
    <w:rsid w:val="001F62DF"/>
    <w:rsid w:val="00206203"/>
    <w:rsid w:val="002066C4"/>
    <w:rsid w:val="002376FD"/>
    <w:rsid w:val="00243749"/>
    <w:rsid w:val="002927FF"/>
    <w:rsid w:val="002A3425"/>
    <w:rsid w:val="002A7D64"/>
    <w:rsid w:val="002C31E6"/>
    <w:rsid w:val="002E43A0"/>
    <w:rsid w:val="002E43F0"/>
    <w:rsid w:val="003020AF"/>
    <w:rsid w:val="00313697"/>
    <w:rsid w:val="00330764"/>
    <w:rsid w:val="00370CB2"/>
    <w:rsid w:val="00395A4B"/>
    <w:rsid w:val="003A574E"/>
    <w:rsid w:val="003B3D15"/>
    <w:rsid w:val="003B5A82"/>
    <w:rsid w:val="003D446E"/>
    <w:rsid w:val="003F164C"/>
    <w:rsid w:val="00423FAE"/>
    <w:rsid w:val="00424222"/>
    <w:rsid w:val="00433F5B"/>
    <w:rsid w:val="00450332"/>
    <w:rsid w:val="00471106"/>
    <w:rsid w:val="0047643B"/>
    <w:rsid w:val="00481001"/>
    <w:rsid w:val="00493C69"/>
    <w:rsid w:val="00494CEC"/>
    <w:rsid w:val="004A363B"/>
    <w:rsid w:val="004B146A"/>
    <w:rsid w:val="004B4295"/>
    <w:rsid w:val="004C650B"/>
    <w:rsid w:val="004D5710"/>
    <w:rsid w:val="00506822"/>
    <w:rsid w:val="00511688"/>
    <w:rsid w:val="00530F23"/>
    <w:rsid w:val="00546420"/>
    <w:rsid w:val="00552120"/>
    <w:rsid w:val="00582165"/>
    <w:rsid w:val="00597498"/>
    <w:rsid w:val="005A1F66"/>
    <w:rsid w:val="005B0DA5"/>
    <w:rsid w:val="0060225A"/>
    <w:rsid w:val="00612230"/>
    <w:rsid w:val="00657667"/>
    <w:rsid w:val="00682828"/>
    <w:rsid w:val="006B1F05"/>
    <w:rsid w:val="006B3072"/>
    <w:rsid w:val="006D1CDA"/>
    <w:rsid w:val="006D362E"/>
    <w:rsid w:val="006F53BD"/>
    <w:rsid w:val="006F64CE"/>
    <w:rsid w:val="007010F5"/>
    <w:rsid w:val="0070665B"/>
    <w:rsid w:val="00757BF5"/>
    <w:rsid w:val="00760725"/>
    <w:rsid w:val="00761FDE"/>
    <w:rsid w:val="00773810"/>
    <w:rsid w:val="00776B8B"/>
    <w:rsid w:val="007A64C0"/>
    <w:rsid w:val="007D1D16"/>
    <w:rsid w:val="007D3683"/>
    <w:rsid w:val="007F7821"/>
    <w:rsid w:val="008055B1"/>
    <w:rsid w:val="008111F1"/>
    <w:rsid w:val="00812042"/>
    <w:rsid w:val="00815C0E"/>
    <w:rsid w:val="00845A20"/>
    <w:rsid w:val="00845B6D"/>
    <w:rsid w:val="00854BF1"/>
    <w:rsid w:val="008614DA"/>
    <w:rsid w:val="008656DC"/>
    <w:rsid w:val="00873A51"/>
    <w:rsid w:val="00892896"/>
    <w:rsid w:val="008C0C5A"/>
    <w:rsid w:val="008E0160"/>
    <w:rsid w:val="009038FF"/>
    <w:rsid w:val="00904498"/>
    <w:rsid w:val="009070E1"/>
    <w:rsid w:val="00934C09"/>
    <w:rsid w:val="00941D03"/>
    <w:rsid w:val="0094510A"/>
    <w:rsid w:val="00946E19"/>
    <w:rsid w:val="00954049"/>
    <w:rsid w:val="00963E84"/>
    <w:rsid w:val="00984BFC"/>
    <w:rsid w:val="009A119C"/>
    <w:rsid w:val="009D4EAD"/>
    <w:rsid w:val="009E3B0A"/>
    <w:rsid w:val="009F2567"/>
    <w:rsid w:val="009F2F11"/>
    <w:rsid w:val="00A2354D"/>
    <w:rsid w:val="00A2599F"/>
    <w:rsid w:val="00A33BA0"/>
    <w:rsid w:val="00A47E5E"/>
    <w:rsid w:val="00A52795"/>
    <w:rsid w:val="00A548E0"/>
    <w:rsid w:val="00A70AF9"/>
    <w:rsid w:val="00A84263"/>
    <w:rsid w:val="00AA51F6"/>
    <w:rsid w:val="00AA5223"/>
    <w:rsid w:val="00AE6BAF"/>
    <w:rsid w:val="00B11B40"/>
    <w:rsid w:val="00B17060"/>
    <w:rsid w:val="00B5042C"/>
    <w:rsid w:val="00B50E26"/>
    <w:rsid w:val="00B706C1"/>
    <w:rsid w:val="00B8268D"/>
    <w:rsid w:val="00B962EA"/>
    <w:rsid w:val="00B96428"/>
    <w:rsid w:val="00BB328A"/>
    <w:rsid w:val="00BB622D"/>
    <w:rsid w:val="00BB72FF"/>
    <w:rsid w:val="00BF50CB"/>
    <w:rsid w:val="00C20B6D"/>
    <w:rsid w:val="00C46998"/>
    <w:rsid w:val="00C676C5"/>
    <w:rsid w:val="00C77A54"/>
    <w:rsid w:val="00C913D1"/>
    <w:rsid w:val="00CB2BEC"/>
    <w:rsid w:val="00CC3D15"/>
    <w:rsid w:val="00CD0445"/>
    <w:rsid w:val="00CD2C65"/>
    <w:rsid w:val="00CD5BA3"/>
    <w:rsid w:val="00CF1D1C"/>
    <w:rsid w:val="00CF25BF"/>
    <w:rsid w:val="00D012EB"/>
    <w:rsid w:val="00D0412B"/>
    <w:rsid w:val="00D17AC5"/>
    <w:rsid w:val="00D22BA1"/>
    <w:rsid w:val="00D445D0"/>
    <w:rsid w:val="00D5535D"/>
    <w:rsid w:val="00D857ED"/>
    <w:rsid w:val="00D94047"/>
    <w:rsid w:val="00DA156B"/>
    <w:rsid w:val="00DB1029"/>
    <w:rsid w:val="00DB7D74"/>
    <w:rsid w:val="00DD67CC"/>
    <w:rsid w:val="00DE1A76"/>
    <w:rsid w:val="00E16642"/>
    <w:rsid w:val="00E2574D"/>
    <w:rsid w:val="00E438FA"/>
    <w:rsid w:val="00E45905"/>
    <w:rsid w:val="00E46286"/>
    <w:rsid w:val="00EB3A09"/>
    <w:rsid w:val="00EB77F5"/>
    <w:rsid w:val="00ED6E9E"/>
    <w:rsid w:val="00F233A8"/>
    <w:rsid w:val="00F35BE9"/>
    <w:rsid w:val="00F4178E"/>
    <w:rsid w:val="00F46C10"/>
    <w:rsid w:val="00F648B6"/>
    <w:rsid w:val="00F76074"/>
    <w:rsid w:val="00F96EFF"/>
    <w:rsid w:val="00FB5155"/>
    <w:rsid w:val="00FD0186"/>
    <w:rsid w:val="00FE5376"/>
    <w:rsid w:val="00FE7EAC"/>
    <w:rsid w:val="00FF7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9289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892896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892896"/>
    <w:rPr>
      <w:rFonts w:cs="Times New Roman"/>
    </w:rPr>
  </w:style>
  <w:style w:type="table" w:styleId="a6">
    <w:name w:val="Table Grid"/>
    <w:basedOn w:val="a1"/>
    <w:uiPriority w:val="99"/>
    <w:rsid w:val="0089289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rsid w:val="00892896"/>
    <w:pPr>
      <w:spacing w:after="0" w:line="360" w:lineRule="auto"/>
      <w:ind w:firstLine="567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92896"/>
    <w:rPr>
      <w:rFonts w:ascii="Times New Roman" w:hAnsi="Times New Roman" w:cs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8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9289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892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92896"/>
    <w:rPr>
      <w:rFonts w:cs="Times New Roman"/>
    </w:rPr>
  </w:style>
  <w:style w:type="character" w:styleId="ad">
    <w:name w:val="Hyperlink"/>
    <w:basedOn w:val="a0"/>
    <w:uiPriority w:val="99"/>
    <w:rsid w:val="00C20B6D"/>
    <w:rPr>
      <w:rFonts w:cs="Times New Roman"/>
      <w:color w:val="0000FF"/>
      <w:u w:val="single"/>
    </w:rPr>
  </w:style>
  <w:style w:type="paragraph" w:styleId="ae">
    <w:name w:val="Normal (Web)"/>
    <w:aliases w:val="Обычный (Web)"/>
    <w:basedOn w:val="a"/>
    <w:uiPriority w:val="99"/>
    <w:rsid w:val="00C20B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"/>
    <w:uiPriority w:val="99"/>
    <w:qFormat/>
    <w:rsid w:val="00C20B6D"/>
    <w:pPr>
      <w:ind w:left="720"/>
      <w:contextualSpacing/>
    </w:pPr>
  </w:style>
  <w:style w:type="character" w:styleId="af0">
    <w:name w:val="FollowedHyperlink"/>
    <w:basedOn w:val="a0"/>
    <w:uiPriority w:val="99"/>
    <w:semiHidden/>
    <w:rsid w:val="006B3072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a0"/>
    <w:uiPriority w:val="99"/>
    <w:rsid w:val="00395A4B"/>
    <w:rPr>
      <w:rFonts w:cs="Times New Roman"/>
    </w:rPr>
  </w:style>
  <w:style w:type="paragraph" w:styleId="af1">
    <w:name w:val="Body Text"/>
    <w:basedOn w:val="a"/>
    <w:link w:val="af2"/>
    <w:uiPriority w:val="99"/>
    <w:semiHidden/>
    <w:rsid w:val="00A70AF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A70AF9"/>
    <w:rPr>
      <w:rFonts w:cs="Times New Roman"/>
    </w:rPr>
  </w:style>
  <w:style w:type="character" w:styleId="af3">
    <w:name w:val="Strong"/>
    <w:basedOn w:val="a0"/>
    <w:uiPriority w:val="99"/>
    <w:qFormat/>
    <w:locked/>
    <w:rsid w:val="002E43F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16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gtmarket.ru/countries/switzerland/switzerland-info" TargetMode="External"/><Relationship Id="rId18" Type="http://schemas.openxmlformats.org/officeDocument/2006/relationships/hyperlink" Target="http://gtmarket.ru/countries/netherlands/netherlands-info" TargetMode="External"/><Relationship Id="rId26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hyperlink" Target="http://hh.ua/" TargetMode="External"/><Relationship Id="rId34" Type="http://schemas.microsoft.com/office/2007/relationships/stylesWithEffects" Target="stylesWithEffects.xml"/><Relationship Id="rId7" Type="http://schemas.openxmlformats.org/officeDocument/2006/relationships/footer" Target="footer1.xml"/><Relationship Id="rId12" Type="http://schemas.openxmlformats.org/officeDocument/2006/relationships/hyperlink" Target="http://gtmarket.ru/countries/sweden/sweden-info" TargetMode="External"/><Relationship Id="rId17" Type="http://schemas.openxmlformats.org/officeDocument/2006/relationships/hyperlink" Target="http://gtmarket.ru/countries/denmark/denmark-info" TargetMode="External"/><Relationship Id="rId25" Type="http://schemas.openxmlformats.org/officeDocument/2006/relationships/image" Target="media/image2.e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tmarket.ru/countries/new-zealand/new-zealand-info" TargetMode="External"/><Relationship Id="rId20" Type="http://schemas.openxmlformats.org/officeDocument/2006/relationships/chart" Target="charts/chart1.xml"/><Relationship Id="rId29" Type="http://schemas.openxmlformats.org/officeDocument/2006/relationships/image" Target="media/image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tmarket.ru/countries/norway/norway-info" TargetMode="External"/><Relationship Id="rId24" Type="http://schemas.openxmlformats.org/officeDocument/2006/relationships/oleObject" Target="embeddings/oleObject1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gtmarket.ru/countries/finland/finland-info" TargetMode="External"/><Relationship Id="rId23" Type="http://schemas.openxmlformats.org/officeDocument/2006/relationships/image" Target="media/image1.emf"/><Relationship Id="rId28" Type="http://schemas.openxmlformats.org/officeDocument/2006/relationships/oleObject" Target="embeddings/oleObject3.bin"/><Relationship Id="rId10" Type="http://schemas.openxmlformats.org/officeDocument/2006/relationships/hyperlink" Target="http://gtmarket.ru/countries/canada/canada-info" TargetMode="External"/><Relationship Id="rId19" Type="http://schemas.openxmlformats.org/officeDocument/2006/relationships/hyperlink" Target="http://gtmarket.ru/countries/austria/austria-info" TargetMode="External"/><Relationship Id="rId31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gtmarket.ru/countries/australia/australia-info" TargetMode="External"/><Relationship Id="rId22" Type="http://schemas.openxmlformats.org/officeDocument/2006/relationships/chart" Target="charts/chart2.xml"/><Relationship Id="rId27" Type="http://schemas.openxmlformats.org/officeDocument/2006/relationships/image" Target="media/image3.wmf"/><Relationship Id="rId30" Type="http://schemas.openxmlformats.org/officeDocument/2006/relationships/oleObject" Target="embeddings/oleObject4.bin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work\&#1089;&#1090;&#1072;&#1090;&#1100;&#1080;%20&#1084;&#1086;&#1080;\2015\&#1089;&#1090;&#1072;&#1090;&#1100;&#1103;%20&#1040;&#1074;&#1089;&#1090;&#1088;&#1072;&#1083;&#1080;&#1103;\&#1088;&#1072;&#1089;&#1095;&#1077;&#1090;&#1099;%20&#1089;&#1086;&#1094;-&#1101;&#1082;&#1086;&#1085;%20&#1088;&#1072;&#1079;&#1074;&#1080;&#1090;&#1080;&#107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5749747627700607"/>
          <c:y val="1.4554047308503619E-2"/>
          <c:w val="0.5728869568387287"/>
          <c:h val="0.92222501328439022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Наявність на ФП соціальних програм, у % від кількості досліджених ФП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50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28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22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17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14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spPr>
              <a:noFill/>
              <a:ln w="25406">
                <a:noFill/>
              </a:ln>
            </c:spPr>
            <c:txPr>
              <a:bodyPr/>
              <a:lstStyle/>
              <a:p>
                <a:pPr>
                  <a:defRPr sz="16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Соціальні програми не реалізуються</c:v>
                </c:pt>
                <c:pt idx="1">
                  <c:v>Благочинність, допомога незахищеним верствам населення</c:v>
                </c:pt>
                <c:pt idx="2">
                  <c:v>Соціальні програми для співробітників</c:v>
                </c:pt>
                <c:pt idx="3">
                  <c:v>Програми розвитку соціальної інфраструктури</c:v>
                </c:pt>
                <c:pt idx="4">
                  <c:v>Програми, спрямовані на покращення екологічної ситуації</c:v>
                </c:pt>
                <c:pt idx="5">
                  <c:v>Інші програми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50</c:v>
                </c:pt>
                <c:pt idx="1">
                  <c:v>28</c:v>
                </c:pt>
                <c:pt idx="2">
                  <c:v>22</c:v>
                </c:pt>
                <c:pt idx="3">
                  <c:v>17</c:v>
                </c:pt>
                <c:pt idx="4">
                  <c:v>14</c:v>
                </c:pt>
                <c:pt idx="5">
                  <c:v>4</c:v>
                </c:pt>
              </c:numCache>
            </c:numRef>
          </c:val>
        </c:ser>
        <c:axId val="109796736"/>
        <c:axId val="109798528"/>
      </c:barChart>
      <c:catAx>
        <c:axId val="109796736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9798528"/>
        <c:crosses val="autoZero"/>
        <c:auto val="1"/>
        <c:lblAlgn val="ctr"/>
        <c:lblOffset val="100"/>
      </c:catAx>
      <c:valAx>
        <c:axId val="109798528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9796736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68145161290322687"/>
          <c:y val="0.15139442231075698"/>
          <c:w val="0.2661290322580645"/>
          <c:h val="0.39840637450199251"/>
        </c:manualLayout>
      </c:layout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5749747627700618"/>
          <c:y val="1.4554047308503619E-2"/>
          <c:w val="0.5728869568387287"/>
          <c:h val="0.92222501328439066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Форми соціальних програм, у % від кількості досліджених ФП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35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19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18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</c:dLbl>
            <c:spPr>
              <a:noFill/>
              <a:ln w="24374">
                <a:noFill/>
              </a:ln>
            </c:spPr>
            <c:txPr>
              <a:bodyPr/>
              <a:lstStyle/>
              <a:p>
                <a:pPr>
                  <a:defRPr sz="1535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Компанія виявляє соціальну ініціати, розробляє план соціальних програм, складає соціальну (нефінансову) звітність, контролює реалізацію соціальних заходів та оцінює їхню ефективність </c:v>
                </c:pt>
                <c:pt idx="1">
                  <c:v>На запит компанія надає цільову допомогу необхідними ресурсами</c:v>
                </c:pt>
                <c:pt idx="2">
                  <c:v>Волонтерська діяльність персоналу</c:v>
                </c:pt>
                <c:pt idx="3">
                  <c:v>На запит компанія надає цільову фінансову допомогу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35</c:v>
                </c:pt>
                <c:pt idx="1">
                  <c:v>27</c:v>
                </c:pt>
                <c:pt idx="2">
                  <c:v>19</c:v>
                </c:pt>
                <c:pt idx="3">
                  <c:v>18</c:v>
                </c:pt>
              </c:numCache>
            </c:numRef>
          </c:val>
        </c:ser>
        <c:axId val="74856320"/>
        <c:axId val="74857856"/>
      </c:barChart>
      <c:catAx>
        <c:axId val="74856320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768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4857856"/>
        <c:crosses val="autoZero"/>
        <c:auto val="1"/>
        <c:lblAlgn val="ctr"/>
        <c:lblOffset val="100"/>
      </c:catAx>
      <c:valAx>
        <c:axId val="74857856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sz="768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4856320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sz="1056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77163904235727598"/>
          <c:y val="3.9325842696629268E-2"/>
          <c:w val="0.22836095764272571"/>
          <c:h val="0.32865168539325945"/>
        </c:manualLayout>
      </c:layout>
      <c:txPr>
        <a:bodyPr/>
        <a:lstStyle/>
        <a:p>
          <a:pPr>
            <a:defRPr sz="1056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5030183727034119E-2"/>
          <c:y val="7.4548702245552684E-2"/>
          <c:w val="0.89583660231903472"/>
          <c:h val="0.8326195683872849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Лист3!$D$38:$D$62</c:f>
              <c:numCache>
                <c:formatCode>General</c:formatCode>
                <c:ptCount val="25"/>
                <c:pt idx="0">
                  <c:v>0.79</c:v>
                </c:pt>
                <c:pt idx="1">
                  <c:v>0.84000000000000064</c:v>
                </c:pt>
                <c:pt idx="2">
                  <c:v>0.64000000000000234</c:v>
                </c:pt>
                <c:pt idx="3">
                  <c:v>0.73000000000000065</c:v>
                </c:pt>
                <c:pt idx="4">
                  <c:v>0.63000000000000234</c:v>
                </c:pt>
                <c:pt idx="5">
                  <c:v>0.54</c:v>
                </c:pt>
                <c:pt idx="6">
                  <c:v>0.28000000000000008</c:v>
                </c:pt>
                <c:pt idx="7">
                  <c:v>0.27</c:v>
                </c:pt>
                <c:pt idx="8">
                  <c:v>0.47000000000000008</c:v>
                </c:pt>
                <c:pt idx="9">
                  <c:v>0.48000000000000032</c:v>
                </c:pt>
                <c:pt idx="10">
                  <c:v>0.61000000000000065</c:v>
                </c:pt>
                <c:pt idx="11">
                  <c:v>0.88000000000000067</c:v>
                </c:pt>
                <c:pt idx="12">
                  <c:v>0.85000000000000064</c:v>
                </c:pt>
                <c:pt idx="13">
                  <c:v>0.63000000000000234</c:v>
                </c:pt>
                <c:pt idx="14">
                  <c:v>0.6200000000000021</c:v>
                </c:pt>
                <c:pt idx="15">
                  <c:v>0.43000000000000038</c:v>
                </c:pt>
                <c:pt idx="16">
                  <c:v>0.42000000000000032</c:v>
                </c:pt>
                <c:pt idx="17">
                  <c:v>0.76000000000000234</c:v>
                </c:pt>
                <c:pt idx="18">
                  <c:v>0.71000000000000063</c:v>
                </c:pt>
                <c:pt idx="19">
                  <c:v>0.6200000000000021</c:v>
                </c:pt>
                <c:pt idx="20">
                  <c:v>0.73000000000000065</c:v>
                </c:pt>
                <c:pt idx="21">
                  <c:v>0.72000000000000064</c:v>
                </c:pt>
                <c:pt idx="22">
                  <c:v>0.52</c:v>
                </c:pt>
                <c:pt idx="23">
                  <c:v>0.53</c:v>
                </c:pt>
                <c:pt idx="24">
                  <c:v>0.65000000000000246</c:v>
                </c:pt>
              </c:numCache>
            </c:numRef>
          </c:xVal>
          <c:yVal>
            <c:numRef>
              <c:f>Лист3!$E$38:$E$62</c:f>
              <c:numCache>
                <c:formatCode>General</c:formatCode>
                <c:ptCount val="25"/>
                <c:pt idx="0">
                  <c:v>1.1499999999999952</c:v>
                </c:pt>
                <c:pt idx="1">
                  <c:v>2.06</c:v>
                </c:pt>
                <c:pt idx="2">
                  <c:v>0</c:v>
                </c:pt>
                <c:pt idx="3">
                  <c:v>1.47</c:v>
                </c:pt>
                <c:pt idx="4">
                  <c:v>1.1399999999999952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1.1800000000000042</c:v>
                </c:pt>
                <c:pt idx="12">
                  <c:v>1.6300000000000001</c:v>
                </c:pt>
                <c:pt idx="13">
                  <c:v>1.02</c:v>
                </c:pt>
                <c:pt idx="14">
                  <c:v>1.21</c:v>
                </c:pt>
                <c:pt idx="15">
                  <c:v>0</c:v>
                </c:pt>
                <c:pt idx="16">
                  <c:v>0</c:v>
                </c:pt>
                <c:pt idx="17">
                  <c:v>3.08</c:v>
                </c:pt>
                <c:pt idx="18">
                  <c:v>0</c:v>
                </c:pt>
                <c:pt idx="19">
                  <c:v>0</c:v>
                </c:pt>
                <c:pt idx="20">
                  <c:v>2.16</c:v>
                </c:pt>
                <c:pt idx="21">
                  <c:v>3.54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</c:numCache>
            </c:numRef>
          </c:yVal>
        </c:ser>
        <c:axId val="109902848"/>
        <c:axId val="117523200"/>
      </c:scatterChart>
      <c:valAx>
        <c:axId val="10990284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523200"/>
        <c:crosses val="autoZero"/>
        <c:crossBetween val="midCat"/>
      </c:valAx>
      <c:valAx>
        <c:axId val="1175232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9902848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4872</Words>
  <Characters>27771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2016-10-10T10:29:00Z</cp:lastPrinted>
  <dcterms:created xsi:type="dcterms:W3CDTF">2017-01-23T15:08:00Z</dcterms:created>
  <dcterms:modified xsi:type="dcterms:W3CDTF">2017-01-23T15:08:00Z</dcterms:modified>
</cp:coreProperties>
</file>